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8A3A1" w14:textId="69AD4470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GABINETE DE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COMUNICAÇÕES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HUBBARD</w:t>
      </w:r>
    </w:p>
    <w:p w14:paraId="008A3334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(HUBBARD COMMUNICATIONS OFFICE)</w:t>
      </w:r>
    </w:p>
    <w:p w14:paraId="50DB11F4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Saint Hill Manor, East Grinstead, Sussex</w:t>
      </w:r>
    </w:p>
    <w:p w14:paraId="7F4CA317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3A19B2C6" w14:textId="00DAE969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CARTA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POLÍTICA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DO HCO DE 13 DE JANEIRO DE 1983</w:t>
      </w:r>
    </w:p>
    <w:p w14:paraId="06EC34DE" w14:textId="4C5A9AA2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72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CORRIGIDA E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REEMITIDA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13 MAIO 1983</w:t>
      </w:r>
    </w:p>
    <w:p w14:paraId="2EB4E172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Remimeo</w:t>
      </w:r>
    </w:p>
    <w:p w14:paraId="6C39A01D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79C0603C" w14:textId="3A85FBF4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(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Reemitida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para corrigir erros</w:t>
      </w:r>
    </w:p>
    <w:p w14:paraId="6438C69F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tipográficos nos parágrafos dois, três e quatro.)</w:t>
      </w:r>
    </w:p>
    <w:p w14:paraId="7128A018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3E92ACDC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1BFE3C61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035F2185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73959B58" w14:textId="70E5FCAB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jc w:val="center"/>
        <w:rPr>
          <w:rFonts w:ascii="Courier" w:eastAsia="Courier" w:hAnsi="Courier" w:cs="Courier"/>
          <w:b/>
          <w:bCs/>
          <w:color w:val="385623" w:themeColor="accent6" w:themeShade="80"/>
          <w:sz w:val="20"/>
          <w:szCs w:val="20"/>
          <w:u w:val="single"/>
        </w:rPr>
      </w:pPr>
      <w:r w:rsidRPr="00F36687">
        <w:rPr>
          <w:rFonts w:ascii="Courier" w:eastAsia="Courier" w:hAnsi="Courier" w:cs="Courier"/>
          <w:b/>
          <w:bCs/>
          <w:color w:val="385623" w:themeColor="accent6" w:themeShade="80"/>
          <w:sz w:val="20"/>
          <w:szCs w:val="20"/>
          <w:u w:val="single"/>
        </w:rPr>
        <w:t xml:space="preserve">A </w:t>
      </w:r>
      <w:r w:rsidR="00F36687" w:rsidRPr="00F36687">
        <w:rPr>
          <w:rFonts w:ascii="Courier" w:eastAsia="Courier" w:hAnsi="Courier" w:cs="Courier"/>
          <w:b/>
          <w:bCs/>
          <w:color w:val="385623" w:themeColor="accent6" w:themeShade="80"/>
          <w:sz w:val="20"/>
          <w:szCs w:val="20"/>
          <w:u w:val="single"/>
        </w:rPr>
        <w:t>ATIVIDADE</w:t>
      </w:r>
      <w:r w:rsidRPr="00F36687">
        <w:rPr>
          <w:rFonts w:ascii="Courier" w:eastAsia="Courier" w:hAnsi="Courier" w:cs="Courier"/>
          <w:b/>
          <w:bCs/>
          <w:color w:val="385623" w:themeColor="accent6" w:themeShade="80"/>
          <w:sz w:val="20"/>
          <w:szCs w:val="20"/>
          <w:u w:val="single"/>
        </w:rPr>
        <w:t xml:space="preserve"> DAS ORGS</w:t>
      </w:r>
    </w:p>
    <w:p w14:paraId="4D75695E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 w:firstLine="72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2C58124B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49C2843D" w14:textId="25751570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As orgs têm a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atividade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muito nova, para este universo, de libertar as pessoas.</w:t>
      </w:r>
    </w:p>
    <w:p w14:paraId="4657EC74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3617053E" w14:textId="529EC87A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Os SPs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descobrirão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todos os tipos de raz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õ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es para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não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o fazer, pois é o que eles, com os seus 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próprios crimes, receiam.</w:t>
      </w:r>
    </w:p>
    <w:p w14:paraId="2C30F2F7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6CE5C698" w14:textId="1BAF759A" w:rsidR="00BE2587" w:rsidRPr="00F36687" w:rsidRDefault="00F3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Segue-se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então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que eles cortam linhas de 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disseminação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, corrompem a tech, suprimem e confundem as orgs, persuadem as pessoas a serem 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inativas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, e lançam 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mão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de outros recursos, todos muito "razoáveis" e "lógicos", para explicarem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porque é que isto deve continuar da forma que está; por isso fica alerta, vai em frente e liberta as pessoas.</w:t>
      </w:r>
    </w:p>
    <w:p w14:paraId="46009F64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20EFA801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Isso é feito com serviços da org bem entregues, segundo a política, com tech standard.</w:t>
      </w:r>
    </w:p>
    <w:p w14:paraId="250CFEB0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7E9374FC" w14:textId="59FD8F8F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Portanto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fá-lo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, pá, </w:t>
      </w:r>
      <w:r w:rsidR="00F36687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fá-lo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!</w:t>
      </w:r>
    </w:p>
    <w:p w14:paraId="79FBD996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 w:firstLine="72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4DD73B04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54FFD51B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L. RON HUBBARD</w:t>
      </w:r>
    </w:p>
    <w:p w14:paraId="759F3FAD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FUNDADOR</w:t>
      </w:r>
    </w:p>
    <w:p w14:paraId="795ACC00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2B511B74" w14:textId="186F6D74" w:rsidR="00BE2587" w:rsidRPr="00F36687" w:rsidRDefault="00F3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Adotada</w:t>
      </w:r>
      <w:r w:rsidR="00411FD3"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 xml:space="preserve"> como </w:t>
      </w: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Oficial</w:t>
      </w:r>
    </w:p>
    <w:p w14:paraId="619709EE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Church Policy por</w:t>
      </w:r>
    </w:p>
    <w:p w14:paraId="7A64D2AA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CHURCH OF SCIENTOLOGY</w:t>
      </w:r>
    </w:p>
    <w:p w14:paraId="08F2B07C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INTERNATIONAL</w:t>
      </w:r>
    </w:p>
    <w:p w14:paraId="616927BD" w14:textId="77777777" w:rsidR="00BE2587" w:rsidRPr="00F36687" w:rsidRDefault="00BE2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</w:p>
    <w:p w14:paraId="1A265B53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CSI:LRH:sk:iw</w:t>
      </w:r>
    </w:p>
    <w:p w14:paraId="4C8A3493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Trad. JB:RMF:CV:jb</w:t>
      </w:r>
    </w:p>
    <w:p w14:paraId="6D0FD8CC" w14:textId="77777777" w:rsidR="00BE2587" w:rsidRPr="00F36687" w:rsidRDefault="00411F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Autorizada por</w:t>
      </w:r>
    </w:p>
    <w:p w14:paraId="68E12617" w14:textId="05C6C732" w:rsidR="00BE2587" w:rsidRPr="00F36687" w:rsidRDefault="00411FD3" w:rsidP="00F366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right="1440"/>
        <w:rPr>
          <w:rFonts w:ascii="Courier" w:eastAsia="Courier" w:hAnsi="Courier" w:cs="Courier"/>
          <w:color w:val="385623" w:themeColor="accent6" w:themeShade="80"/>
          <w:sz w:val="20"/>
          <w:szCs w:val="20"/>
        </w:rPr>
      </w:pPr>
      <w:r w:rsidRPr="00F36687">
        <w:rPr>
          <w:rFonts w:ascii="Courier" w:eastAsia="Courier" w:hAnsi="Courier" w:cs="Courier"/>
          <w:color w:val="385623" w:themeColor="accent6" w:themeShade="80"/>
          <w:sz w:val="20"/>
          <w:szCs w:val="20"/>
        </w:rPr>
        <w:t>I/A Off CLO EU</w:t>
      </w:r>
    </w:p>
    <w:sectPr w:rsidR="00BE2587" w:rsidRPr="00F36687" w:rsidSect="00F36687">
      <w:footerReference w:type="default" r:id="rId6"/>
      <w:pgSz w:w="12240" w:h="15840"/>
      <w:pgMar w:top="1440" w:right="1080" w:bottom="1440" w:left="1080" w:header="0" w:footer="73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AEF3D" w14:textId="77777777" w:rsidR="00411FD3" w:rsidRDefault="00411FD3">
      <w:r>
        <w:separator/>
      </w:r>
    </w:p>
  </w:endnote>
  <w:endnote w:type="continuationSeparator" w:id="0">
    <w:p w14:paraId="2301FDD7" w14:textId="77777777" w:rsidR="00411FD3" w:rsidRDefault="004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BB468" w14:textId="77777777" w:rsidR="00BE2587" w:rsidRPr="00F36687" w:rsidRDefault="00411FD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left="720"/>
      <w:rPr>
        <w:lang w:val="en-US"/>
      </w:rPr>
    </w:pPr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Copyright </w:t>
    </w:r>
    <w:r w:rsidRPr="00F36687">
      <w:rPr>
        <w:rFonts w:ascii="Courier" w:eastAsia="Courier" w:hAnsi="Courier" w:cs="Courier"/>
        <w:color w:val="000000"/>
        <w:sz w:val="20"/>
        <w:szCs w:val="20"/>
        <w:lang w:val="en-US"/>
      </w:rPr>
      <w:t>☺</w:t>
    </w:r>
    <w:r w:rsidRPr="00F36687">
      <w:rPr>
        <w:rFonts w:ascii="Courier" w:eastAsia="Courier" w:hAnsi="Courier" w:cs="Courier"/>
        <w:color w:val="000000"/>
        <w:sz w:val="20"/>
        <w:szCs w:val="20"/>
        <w:lang w:val="en-US"/>
      </w:rPr>
      <w:t xml:space="preserve"> </w:t>
    </w:r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1983 por L. Ron Hubbard.</w:t>
    </w:r>
  </w:p>
  <w:p w14:paraId="1F74F172" w14:textId="77777777" w:rsidR="00BE2587" w:rsidRPr="00F36687" w:rsidRDefault="00411FD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left="720"/>
      <w:rPr>
        <w:lang w:val="en-US"/>
      </w:rPr>
    </w:pPr>
    <w:proofErr w:type="spellStart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Traduḉo</w:t>
    </w:r>
    <w:proofErr w:type="spellEnd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 Copyright </w:t>
    </w:r>
    <w:r w:rsidRPr="00F36687">
      <w:rPr>
        <w:rFonts w:ascii="Courier" w:eastAsia="Courier" w:hAnsi="Courier" w:cs="Courier"/>
        <w:color w:val="000000"/>
        <w:sz w:val="20"/>
        <w:szCs w:val="20"/>
        <w:lang w:val="en-US"/>
      </w:rPr>
      <w:t>☺</w:t>
    </w:r>
    <w:r w:rsidRPr="00F36687">
      <w:rPr>
        <w:rFonts w:ascii="Courier" w:eastAsia="Courier" w:hAnsi="Courier" w:cs="Courier"/>
        <w:color w:val="000000"/>
        <w:sz w:val="20"/>
        <w:szCs w:val="20"/>
        <w:lang w:val="en-US"/>
      </w:rPr>
      <w:t xml:space="preserve"> </w:t>
    </w:r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1986 por L. Ron Hubbard Library. </w:t>
    </w:r>
    <w:proofErr w:type="spellStart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Reservados</w:t>
    </w:r>
    <w:proofErr w:type="spellEnd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 </w:t>
    </w:r>
    <w:proofErr w:type="spellStart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todos</w:t>
    </w:r>
    <w:proofErr w:type="spellEnd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 </w:t>
    </w:r>
    <w:proofErr w:type="spellStart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os</w:t>
    </w:r>
    <w:proofErr w:type="spellEnd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 </w:t>
    </w:r>
    <w:proofErr w:type="spellStart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direitos</w:t>
    </w:r>
    <w:proofErr w:type="spellEnd"/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.</w:t>
    </w:r>
  </w:p>
  <w:p w14:paraId="645F58F6" w14:textId="77777777" w:rsidR="00BE2587" w:rsidRPr="00F36687" w:rsidRDefault="00411FD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left="720"/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</w:pPr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 xml:space="preserve">Translated into </w:t>
    </w:r>
    <w:r w:rsidRPr="00F36687">
      <w:rPr>
        <w:rFonts w:ascii="Courier" w:eastAsia="Courier" w:hAnsi="Courier" w:cs="Courier"/>
        <w:color w:val="000000"/>
        <w:sz w:val="20"/>
        <w:szCs w:val="20"/>
        <w:vertAlign w:val="subscript"/>
        <w:lang w:val="en-US"/>
      </w:rPr>
      <w:t>Portuguese by the TRANSLATIONS UNIT in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20789" w14:textId="77777777" w:rsidR="00411FD3" w:rsidRDefault="00411FD3">
      <w:r>
        <w:separator/>
      </w:r>
    </w:p>
  </w:footnote>
  <w:footnote w:type="continuationSeparator" w:id="0">
    <w:p w14:paraId="5E52B43C" w14:textId="77777777" w:rsidR="00411FD3" w:rsidRDefault="0041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587"/>
    <w:rsid w:val="00411FD3"/>
    <w:rsid w:val="00BE2587"/>
    <w:rsid w:val="00F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A7F9"/>
  <w15:docId w15:val="{8E08C165-0F70-464C-87F5-1F075983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ncoradanotafinal">
    <w:name w:val="Âncora da nota final"/>
    <w:qFormat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</w:style>
  <w:style w:type="paragraph" w:customStyle="1" w:styleId="ndice">
    <w:name w:val="Índice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Contedodatabela">
    <w:name w:val="Conteúdo da tabela"/>
    <w:basedOn w:val="TextBody"/>
    <w:qFormat/>
  </w:style>
  <w:style w:type="paragraph" w:customStyle="1" w:styleId="Ttulodatabela">
    <w:name w:val="Título da tabela"/>
    <w:basedOn w:val="Contedodatabela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Textodenotaderodap">
    <w:name w:val="footnote text"/>
    <w:basedOn w:val="Normal"/>
  </w:style>
  <w:style w:type="paragraph" w:styleId="Textodenotadefim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benito ramalho</cp:lastModifiedBy>
  <cp:revision>1</cp:revision>
  <dcterms:created xsi:type="dcterms:W3CDTF">2020-12-09T16:04:00Z</dcterms:created>
  <dcterms:modified xsi:type="dcterms:W3CDTF">2020-12-09T16:07:00Z</dcterms:modified>
  <dc:language>pt-PT</dc:language>
</cp:coreProperties>
</file>