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B42482" w:rsidRDefault="00BE6502" w:rsidP="00B42482">
      <w:pPr>
        <w:spacing w:after="0"/>
        <w:jc w:val="center"/>
        <w:rPr>
          <w:color w:val="003300"/>
        </w:rPr>
      </w:pPr>
      <w:bookmarkStart w:id="0" w:name="_GoBack"/>
      <w:r w:rsidRPr="00B42482">
        <w:rPr>
          <w:color w:val="003300"/>
        </w:rPr>
        <w:t xml:space="preserve">GABINETE DE COMUNICAÇÕES </w:t>
      </w:r>
      <w:r w:rsidR="00EC5911" w:rsidRPr="00B42482">
        <w:rPr>
          <w:color w:val="003300"/>
        </w:rPr>
        <w:t>HUBBARD</w:t>
      </w:r>
    </w:p>
    <w:p w:rsidR="00BE6502" w:rsidRPr="00B42482" w:rsidRDefault="00BE6502" w:rsidP="00B42482">
      <w:pPr>
        <w:spacing w:after="0"/>
        <w:jc w:val="center"/>
        <w:rPr>
          <w:caps/>
          <w:snapToGrid w:val="0"/>
          <w:color w:val="003300"/>
        </w:rPr>
      </w:pPr>
      <w:r w:rsidRPr="00B42482">
        <w:rPr>
          <w:color w:val="003300"/>
        </w:rPr>
        <w:t>Solar de St. Hill, Grinstead Oriental, Sussex</w:t>
      </w:r>
      <w:r w:rsidRPr="00B42482">
        <w:rPr>
          <w:caps/>
          <w:color w:val="003300"/>
        </w:rPr>
        <w:t>,</w:t>
      </w:r>
    </w:p>
    <w:p w:rsidR="00693172" w:rsidRPr="00B42482" w:rsidRDefault="00693172" w:rsidP="00B42482">
      <w:pPr>
        <w:spacing w:after="0"/>
        <w:jc w:val="center"/>
        <w:rPr>
          <w:color w:val="003300"/>
        </w:rPr>
      </w:pPr>
      <w:r w:rsidRPr="00B42482">
        <w:rPr>
          <w:color w:val="003300"/>
        </w:rPr>
        <w:t xml:space="preserve">HCOPL de </w:t>
      </w:r>
      <w:r w:rsidR="00DF2A9C" w:rsidRPr="00B42482">
        <w:rPr>
          <w:color w:val="003300"/>
        </w:rPr>
        <w:t>7</w:t>
      </w:r>
      <w:r w:rsidRPr="00B42482">
        <w:rPr>
          <w:color w:val="003300"/>
        </w:rPr>
        <w:t xml:space="preserve"> de ABRIL de 1965</w:t>
      </w:r>
    </w:p>
    <w:p w:rsidR="00693172" w:rsidRPr="00B42482" w:rsidRDefault="00693172" w:rsidP="00B42482">
      <w:pPr>
        <w:spacing w:after="0"/>
        <w:jc w:val="center"/>
        <w:rPr>
          <w:color w:val="003300"/>
        </w:rPr>
      </w:pPr>
      <w:r w:rsidRPr="00B42482">
        <w:rPr>
          <w:color w:val="003300"/>
        </w:rPr>
        <w:t>Emissão I</w:t>
      </w:r>
      <w:r w:rsidR="00DF2A9C" w:rsidRPr="00B42482">
        <w:rPr>
          <w:color w:val="003300"/>
        </w:rPr>
        <w:t>I</w:t>
      </w:r>
    </w:p>
    <w:p w:rsidR="00693172" w:rsidRPr="00B42482" w:rsidRDefault="00693172" w:rsidP="00B42482">
      <w:pPr>
        <w:spacing w:after="0"/>
        <w:rPr>
          <w:color w:val="003300"/>
        </w:rPr>
      </w:pPr>
      <w:r w:rsidRPr="00B42482">
        <w:rPr>
          <w:color w:val="003300"/>
        </w:rPr>
        <w:t xml:space="preserve">Não </w:t>
      </w:r>
      <w:r w:rsidR="00EC5911" w:rsidRPr="00B42482">
        <w:rPr>
          <w:color w:val="003300"/>
        </w:rPr>
        <w:t>Remimeo</w:t>
      </w:r>
      <w:r w:rsidR="00783B95" w:rsidRPr="00B42482">
        <w:rPr>
          <w:color w:val="003300"/>
        </w:rPr>
        <w:t xml:space="preserve"> geral</w:t>
      </w:r>
    </w:p>
    <w:p w:rsidR="0077373B" w:rsidRPr="00B42482" w:rsidRDefault="00DF2A9C" w:rsidP="00B42482">
      <w:pPr>
        <w:spacing w:after="0"/>
        <w:rPr>
          <w:color w:val="003300"/>
        </w:rPr>
      </w:pPr>
      <w:r w:rsidRPr="00B42482">
        <w:rPr>
          <w:color w:val="003300"/>
        </w:rPr>
        <w:t xml:space="preserve">Uma futura emissão de “O </w:t>
      </w:r>
      <w:r w:rsidR="0077373B" w:rsidRPr="00B42482">
        <w:rPr>
          <w:color w:val="003300"/>
        </w:rPr>
        <w:t>Auditor</w:t>
      </w:r>
      <w:r w:rsidRPr="00B42482">
        <w:rPr>
          <w:color w:val="003300"/>
        </w:rPr>
        <w:t>”</w:t>
      </w:r>
    </w:p>
    <w:p w:rsidR="0077373B" w:rsidRPr="00B42482" w:rsidRDefault="0077373B" w:rsidP="00B42482">
      <w:pPr>
        <w:rPr>
          <w:color w:val="003300"/>
        </w:rPr>
      </w:pPr>
    </w:p>
    <w:p w:rsidR="00DF2A9C" w:rsidRPr="00B42482" w:rsidRDefault="00DF2A9C" w:rsidP="00B42482">
      <w:pPr>
        <w:pStyle w:val="Ttulo2"/>
        <w:rPr>
          <w:color w:val="003300"/>
        </w:rPr>
      </w:pPr>
      <w:r w:rsidRPr="00B42482">
        <w:rPr>
          <w:color w:val="003300"/>
        </w:rPr>
        <w:t>POLÍTICA DE CURA NO CAMPO</w:t>
      </w:r>
    </w:p>
    <w:p w:rsidR="0077373B" w:rsidRPr="00B42482" w:rsidRDefault="0077373B" w:rsidP="00B42482">
      <w:pPr>
        <w:rPr>
          <w:color w:val="003300"/>
        </w:rPr>
      </w:pPr>
    </w:p>
    <w:p w:rsidR="00DF2A9C" w:rsidRPr="00B42482" w:rsidRDefault="00DF2A9C" w:rsidP="00B42482">
      <w:pPr>
        <w:rPr>
          <w:color w:val="003300"/>
        </w:rPr>
      </w:pPr>
      <w:r w:rsidRPr="00B42482">
        <w:rPr>
          <w:color w:val="003300"/>
        </w:rPr>
        <w:t>A Carta de Política HCO de 27 de outubro de 1964 é agora vinculativa para todos os auditores de campo e funcionários do campo.</w:t>
      </w:r>
    </w:p>
    <w:p w:rsidR="00DF2A9C" w:rsidRPr="00B42482" w:rsidRDefault="00DF2A9C" w:rsidP="00B42482">
      <w:pPr>
        <w:rPr>
          <w:color w:val="003300"/>
        </w:rPr>
      </w:pPr>
      <w:r w:rsidRPr="00B42482">
        <w:rPr>
          <w:color w:val="003300"/>
        </w:rPr>
        <w:t>Muitos auditores de campo não percebem que danificam sua própria disseminação e utilidade ao se envolverem com os doentes e os insanos.</w:t>
      </w:r>
    </w:p>
    <w:p w:rsidR="00DF2A9C" w:rsidRPr="00B42482" w:rsidRDefault="00DF2A9C" w:rsidP="00B42482">
      <w:pPr>
        <w:rPr>
          <w:color w:val="003300"/>
        </w:rPr>
      </w:pPr>
      <w:r w:rsidRPr="00B42482">
        <w:rPr>
          <w:color w:val="003300"/>
        </w:rPr>
        <w:t xml:space="preserve">A única coisa que um auditor de campo pode fazer, de verdade, sem se ir abaixo, é promover, fazer reuniões e fazer assistências curtas como membros da equipe de campo de sua organização mais próxima. Mas sejam eles ou não, todos os auditores de campo, incluindo </w:t>
      </w:r>
      <w:proofErr w:type="spellStart"/>
      <w:r w:rsidRPr="00B42482">
        <w:rPr>
          <w:color w:val="003300"/>
        </w:rPr>
        <w:t>HBA</w:t>
      </w:r>
      <w:proofErr w:type="spellEnd"/>
      <w:r w:rsidRPr="00B42482">
        <w:rPr>
          <w:color w:val="003300"/>
        </w:rPr>
        <w:t>, HAS e HQS, devem cumprir com cuidado esta política e informar as pessoas que procuram persuadi-l</w:t>
      </w:r>
      <w:r w:rsidR="002736FC" w:rsidRPr="00B42482">
        <w:rPr>
          <w:color w:val="003300"/>
        </w:rPr>
        <w:t>o</w:t>
      </w:r>
      <w:r w:rsidRPr="00B42482">
        <w:rPr>
          <w:color w:val="003300"/>
        </w:rPr>
        <w:t xml:space="preserve">s a ajudar os insanos ou muito doentes que "é uma ofensa </w:t>
      </w:r>
      <w:r w:rsidR="002736FC" w:rsidRPr="00B42482">
        <w:rPr>
          <w:color w:val="003300"/>
        </w:rPr>
        <w:t>sujeita a</w:t>
      </w:r>
      <w:r w:rsidRPr="00B42482">
        <w:rPr>
          <w:color w:val="003300"/>
        </w:rPr>
        <w:t xml:space="preserve"> Comitê de Evidência</w:t>
      </w:r>
      <w:r w:rsidR="002736FC" w:rsidRPr="00B42482">
        <w:rPr>
          <w:color w:val="003300"/>
        </w:rPr>
        <w:t>,</w:t>
      </w:r>
      <w:r w:rsidRPr="00B42482">
        <w:rPr>
          <w:color w:val="003300"/>
        </w:rPr>
        <w:t xml:space="preserve"> quebra</w:t>
      </w:r>
      <w:r w:rsidR="002736FC" w:rsidRPr="00B42482">
        <w:rPr>
          <w:color w:val="003300"/>
        </w:rPr>
        <w:t>r a</w:t>
      </w:r>
      <w:r w:rsidRPr="00B42482">
        <w:rPr>
          <w:color w:val="003300"/>
        </w:rPr>
        <w:t xml:space="preserve"> </w:t>
      </w:r>
      <w:r w:rsidR="002736FC" w:rsidRPr="00B42482">
        <w:rPr>
          <w:color w:val="003300"/>
        </w:rPr>
        <w:t xml:space="preserve">Política do </w:t>
      </w:r>
      <w:r w:rsidRPr="00B42482">
        <w:rPr>
          <w:color w:val="003300"/>
        </w:rPr>
        <w:t>HCO "e assim se libertar</w:t>
      </w:r>
      <w:r w:rsidR="002736FC" w:rsidRPr="00B42482">
        <w:rPr>
          <w:color w:val="003300"/>
        </w:rPr>
        <w:t>em disso</w:t>
      </w:r>
      <w:r w:rsidRPr="00B42482">
        <w:rPr>
          <w:color w:val="003300"/>
        </w:rPr>
        <w:t xml:space="preserve">. Eu vi </w:t>
      </w:r>
      <w:r w:rsidR="002736FC" w:rsidRPr="00B42482">
        <w:rPr>
          <w:color w:val="003300"/>
        </w:rPr>
        <w:t>demasiados</w:t>
      </w:r>
      <w:r w:rsidRPr="00B42482">
        <w:rPr>
          <w:color w:val="003300"/>
        </w:rPr>
        <w:t xml:space="preserve"> auditores de campo falharem por </w:t>
      </w:r>
      <w:r w:rsidR="002736FC" w:rsidRPr="00B42482">
        <w:rPr>
          <w:color w:val="003300"/>
        </w:rPr>
        <w:t xml:space="preserve">ficarem </w:t>
      </w:r>
      <w:r w:rsidRPr="00B42482">
        <w:rPr>
          <w:color w:val="003300"/>
        </w:rPr>
        <w:t>enredados com psic</w:t>
      </w:r>
      <w:r w:rsidR="002736FC" w:rsidRPr="00B42482">
        <w:rPr>
          <w:color w:val="003300"/>
        </w:rPr>
        <w:t>óticos</w:t>
      </w:r>
      <w:r w:rsidRPr="00B42482">
        <w:rPr>
          <w:color w:val="003300"/>
        </w:rPr>
        <w:t xml:space="preserve"> e casos cronicamente doentes para não </w:t>
      </w:r>
      <w:r w:rsidR="002736FC" w:rsidRPr="00B42482">
        <w:rPr>
          <w:color w:val="003300"/>
        </w:rPr>
        <w:t xml:space="preserve">os tentar </w:t>
      </w:r>
      <w:r w:rsidRPr="00B42482">
        <w:rPr>
          <w:color w:val="003300"/>
        </w:rPr>
        <w:t xml:space="preserve">proteger </w:t>
      </w:r>
      <w:r w:rsidR="002736FC" w:rsidRPr="00B42482">
        <w:rPr>
          <w:color w:val="003300"/>
        </w:rPr>
        <w:t>d</w:t>
      </w:r>
      <w:r w:rsidRPr="00B42482">
        <w:rPr>
          <w:color w:val="003300"/>
        </w:rPr>
        <w:t>esses erros.</w:t>
      </w:r>
    </w:p>
    <w:p w:rsidR="00783B95" w:rsidRPr="00B42482" w:rsidRDefault="00783B95" w:rsidP="00B42482">
      <w:pPr>
        <w:rPr>
          <w:color w:val="003300"/>
        </w:rPr>
      </w:pPr>
    </w:p>
    <w:p w:rsidR="00DF2A9C" w:rsidRPr="00B42482" w:rsidRDefault="00783B95" w:rsidP="00B42482">
      <w:pPr>
        <w:rPr>
          <w:color w:val="003300"/>
        </w:rPr>
      </w:pPr>
      <w:r w:rsidRPr="00B42482">
        <w:rPr>
          <w:color w:val="003300"/>
        </w:rPr>
        <w:t xml:space="preserve">Excerto da </w:t>
      </w:r>
      <w:r w:rsidR="00DF2A9C" w:rsidRPr="00B42482">
        <w:rPr>
          <w:color w:val="003300"/>
        </w:rPr>
        <w:t>HCO PL</w:t>
      </w:r>
      <w:r w:rsidRPr="00B42482">
        <w:rPr>
          <w:color w:val="003300"/>
        </w:rPr>
        <w:t xml:space="preserve"> de</w:t>
      </w:r>
      <w:r w:rsidR="00DF2A9C" w:rsidRPr="00B42482">
        <w:rPr>
          <w:color w:val="003300"/>
        </w:rPr>
        <w:t xml:space="preserve"> 27 de outubro de 64:</w:t>
      </w:r>
    </w:p>
    <w:p w:rsidR="00DF2A9C" w:rsidRPr="00B42482" w:rsidRDefault="00DF2A9C" w:rsidP="00B42482">
      <w:pPr>
        <w:jc w:val="center"/>
        <w:rPr>
          <w:b/>
          <w:color w:val="003300"/>
        </w:rPr>
      </w:pPr>
      <w:r w:rsidRPr="00B42482">
        <w:rPr>
          <w:b/>
          <w:color w:val="003300"/>
        </w:rPr>
        <w:t>"CURA</w:t>
      </w:r>
    </w:p>
    <w:p w:rsidR="00DF2A9C" w:rsidRPr="00B42482" w:rsidRDefault="00DF2A9C" w:rsidP="00B42482">
      <w:pPr>
        <w:rPr>
          <w:color w:val="003300"/>
        </w:rPr>
      </w:pPr>
      <w:r w:rsidRPr="00B42482">
        <w:rPr>
          <w:color w:val="003300"/>
        </w:rPr>
        <w:t>"Qualquer processo rotulado de</w:t>
      </w:r>
      <w:r w:rsidR="002736FC" w:rsidRPr="00B42482">
        <w:rPr>
          <w:color w:val="003300"/>
        </w:rPr>
        <w:t xml:space="preserve"> </w:t>
      </w:r>
      <w:r w:rsidRPr="00B42482">
        <w:rPr>
          <w:color w:val="003300"/>
        </w:rPr>
        <w:t>"cura ", antigo ou novo</w:t>
      </w:r>
      <w:r w:rsidR="002736FC" w:rsidRPr="00B42482">
        <w:rPr>
          <w:color w:val="003300"/>
        </w:rPr>
        <w:t>,</w:t>
      </w:r>
      <w:r w:rsidRPr="00B42482">
        <w:rPr>
          <w:color w:val="003300"/>
        </w:rPr>
        <w:t xml:space="preserve"> refere-se à cura por meios mentais e espirituais e, portanto, deve ser considerado como o alívio de dificuldades decorrentes de causas mentais e espirituais.</w:t>
      </w:r>
    </w:p>
    <w:p w:rsidR="00DF2A9C" w:rsidRPr="00B42482" w:rsidRDefault="00DF2A9C" w:rsidP="00B42482">
      <w:pPr>
        <w:rPr>
          <w:color w:val="003300"/>
        </w:rPr>
      </w:pPr>
      <w:r w:rsidRPr="00B42482">
        <w:rPr>
          <w:color w:val="003300"/>
        </w:rPr>
        <w:t xml:space="preserve">"O procedimento adequado </w:t>
      </w:r>
      <w:r w:rsidR="002736FC" w:rsidRPr="00B42482">
        <w:rPr>
          <w:color w:val="003300"/>
        </w:rPr>
        <w:t xml:space="preserve">ao </w:t>
      </w:r>
      <w:r w:rsidRPr="00B42482">
        <w:rPr>
          <w:color w:val="003300"/>
        </w:rPr>
        <w:t xml:space="preserve">ser solicitado </w:t>
      </w:r>
      <w:r w:rsidR="002736FC" w:rsidRPr="00B42482">
        <w:rPr>
          <w:color w:val="003300"/>
        </w:rPr>
        <w:t>par</w:t>
      </w:r>
      <w:r w:rsidRPr="00B42482">
        <w:rPr>
          <w:color w:val="003300"/>
        </w:rPr>
        <w:t>a curar algu</w:t>
      </w:r>
      <w:r w:rsidR="002736FC" w:rsidRPr="00B42482">
        <w:rPr>
          <w:color w:val="003300"/>
        </w:rPr>
        <w:t>ma</w:t>
      </w:r>
      <w:r w:rsidRPr="00B42482">
        <w:rPr>
          <w:color w:val="003300"/>
        </w:rPr>
        <w:t xml:space="preserve"> reclama</w:t>
      </w:r>
      <w:r w:rsidR="002736FC" w:rsidRPr="00B42482">
        <w:rPr>
          <w:color w:val="003300"/>
        </w:rPr>
        <w:t>ção</w:t>
      </w:r>
      <w:r w:rsidRPr="00B42482">
        <w:rPr>
          <w:color w:val="003300"/>
        </w:rPr>
        <w:t xml:space="preserve"> de deficiência física é o seguinte:</w:t>
      </w:r>
    </w:p>
    <w:p w:rsidR="00DF2A9C" w:rsidRPr="00B42482" w:rsidRDefault="00DF2A9C" w:rsidP="00B42482">
      <w:pPr>
        <w:ind w:left="709" w:hanging="272"/>
        <w:rPr>
          <w:color w:val="003300"/>
        </w:rPr>
      </w:pPr>
      <w:r w:rsidRPr="00B42482">
        <w:rPr>
          <w:color w:val="003300"/>
        </w:rPr>
        <w:t xml:space="preserve">1. Exigir um exame físico de qualquer profissional de artes </w:t>
      </w:r>
      <w:r w:rsidR="002736FC" w:rsidRPr="00B42482">
        <w:rPr>
          <w:color w:val="003300"/>
        </w:rPr>
        <w:t>médicas</w:t>
      </w:r>
      <w:r w:rsidRPr="00B42482">
        <w:rPr>
          <w:color w:val="003300"/>
        </w:rPr>
        <w:t xml:space="preserve"> de cura que seja competente e disponível;</w:t>
      </w:r>
    </w:p>
    <w:p w:rsidR="00DF2A9C" w:rsidRPr="00B42482" w:rsidRDefault="00DF2A9C" w:rsidP="00B42482">
      <w:pPr>
        <w:ind w:left="709" w:hanging="272"/>
        <w:rPr>
          <w:color w:val="003300"/>
        </w:rPr>
      </w:pPr>
      <w:r w:rsidRPr="00B42482">
        <w:rPr>
          <w:color w:val="003300"/>
        </w:rPr>
        <w:t>2. Estabelecer claramente que a deficiência não provém de causas físicas imediatas;</w:t>
      </w:r>
    </w:p>
    <w:p w:rsidR="00DF2A9C" w:rsidRPr="00B42482" w:rsidRDefault="00DF2A9C" w:rsidP="00B42482">
      <w:pPr>
        <w:ind w:left="709" w:hanging="272"/>
        <w:rPr>
          <w:color w:val="003300"/>
        </w:rPr>
      </w:pPr>
      <w:r w:rsidRPr="00B42482">
        <w:rPr>
          <w:color w:val="003300"/>
        </w:rPr>
        <w:t xml:space="preserve">3. Se a deficiência for </w:t>
      </w:r>
      <w:r w:rsidR="002736FC" w:rsidRPr="00B42482">
        <w:rPr>
          <w:color w:val="003300"/>
        </w:rPr>
        <w:t>declarada</w:t>
      </w:r>
      <w:r w:rsidRPr="00B42482">
        <w:rPr>
          <w:color w:val="003300"/>
        </w:rPr>
        <w:t xml:space="preserve"> ser curável dentro da </w:t>
      </w:r>
      <w:r w:rsidR="002736FC" w:rsidRPr="00B42482">
        <w:rPr>
          <w:color w:val="003300"/>
        </w:rPr>
        <w:t>capacidade</w:t>
      </w:r>
      <w:r w:rsidRPr="00B42482">
        <w:rPr>
          <w:color w:val="003300"/>
        </w:rPr>
        <w:t xml:space="preserve"> do praticante </w:t>
      </w:r>
      <w:r w:rsidR="002736FC" w:rsidRPr="00B42482">
        <w:rPr>
          <w:color w:val="003300"/>
        </w:rPr>
        <w:t>médico</w:t>
      </w:r>
      <w:r w:rsidRPr="00B42482">
        <w:rPr>
          <w:color w:val="003300"/>
        </w:rPr>
        <w:t xml:space="preserve"> e é, de fato, uma doença ou doença que se rende ao tratamento físico contemporâneo, exi</w:t>
      </w:r>
      <w:r w:rsidR="002736FC" w:rsidRPr="00B42482">
        <w:rPr>
          <w:color w:val="003300"/>
        </w:rPr>
        <w:t>ja</w:t>
      </w:r>
      <w:r w:rsidRPr="00B42482">
        <w:rPr>
          <w:color w:val="003300"/>
        </w:rPr>
        <w:t xml:space="preserve"> que a pessoa seja assim tratada antes que o processamento de Scientology possa ser realizado;</w:t>
      </w:r>
    </w:p>
    <w:p w:rsidR="00DF2A9C" w:rsidRPr="00B42482" w:rsidRDefault="00DF2A9C" w:rsidP="00B42482">
      <w:pPr>
        <w:ind w:left="709" w:hanging="272"/>
        <w:rPr>
          <w:color w:val="003300"/>
        </w:rPr>
      </w:pPr>
      <w:r w:rsidRPr="00B42482">
        <w:rPr>
          <w:color w:val="003300"/>
        </w:rPr>
        <w:t>4. Se, no entanto, a recomendação do praticante físico incluir cirurgia ou tratamento de uma natureza não comprovada</w:t>
      </w:r>
      <w:r w:rsidR="002736FC" w:rsidRPr="00B42482">
        <w:rPr>
          <w:color w:val="003300"/>
        </w:rPr>
        <w:t>,</w:t>
      </w:r>
      <w:r w:rsidRPr="00B42482">
        <w:rPr>
          <w:color w:val="003300"/>
        </w:rPr>
        <w:t xml:space="preserve"> </w:t>
      </w:r>
      <w:r w:rsidR="002736FC" w:rsidRPr="00B42482">
        <w:rPr>
          <w:color w:val="003300"/>
        </w:rPr>
        <w:t>se</w:t>
      </w:r>
      <w:r w:rsidRPr="00B42482">
        <w:rPr>
          <w:color w:val="003300"/>
        </w:rPr>
        <w:t xml:space="preserve"> </w:t>
      </w:r>
      <w:r w:rsidR="002736FC" w:rsidRPr="00B42482">
        <w:rPr>
          <w:color w:val="003300"/>
        </w:rPr>
        <w:t>o mal</w:t>
      </w:r>
      <w:r w:rsidRPr="00B42482">
        <w:rPr>
          <w:color w:val="003300"/>
        </w:rPr>
        <w:t xml:space="preserve"> ou doença não pode ser diagnosticada com precisão como um</w:t>
      </w:r>
      <w:r w:rsidR="002736FC" w:rsidRPr="00B42482">
        <w:rPr>
          <w:color w:val="003300"/>
        </w:rPr>
        <w:t xml:space="preserve"> mal ou</w:t>
      </w:r>
      <w:r w:rsidRPr="00B42482">
        <w:rPr>
          <w:color w:val="003300"/>
        </w:rPr>
        <w:t xml:space="preserve"> doença física específica com uma cura conhecida, a pessoa </w:t>
      </w:r>
      <w:r w:rsidR="002736FC" w:rsidRPr="00B42482">
        <w:rPr>
          <w:color w:val="003300"/>
        </w:rPr>
        <w:t>pode ser aceite</w:t>
      </w:r>
      <w:r w:rsidRPr="00B42482">
        <w:rPr>
          <w:color w:val="003300"/>
        </w:rPr>
        <w:t xml:space="preserve"> para processamento na </w:t>
      </w:r>
      <w:r w:rsidR="002736FC" w:rsidRPr="00B42482">
        <w:rPr>
          <w:color w:val="003300"/>
        </w:rPr>
        <w:t>presunção</w:t>
      </w:r>
      <w:r w:rsidRPr="00B42482">
        <w:rPr>
          <w:color w:val="003300"/>
        </w:rPr>
        <w:t xml:space="preserve"> razoável </w:t>
      </w:r>
      <w:r w:rsidR="002736FC" w:rsidRPr="00B42482">
        <w:rPr>
          <w:color w:val="003300"/>
        </w:rPr>
        <w:t>q</w:t>
      </w:r>
      <w:r w:rsidRPr="00B42482">
        <w:rPr>
          <w:color w:val="003300"/>
        </w:rPr>
        <w:t xml:space="preserve">ue nenhuma doença puramente física </w:t>
      </w:r>
      <w:r w:rsidR="00783B95" w:rsidRPr="00B42482">
        <w:rPr>
          <w:color w:val="003300"/>
        </w:rPr>
        <w:t xml:space="preserve">se </w:t>
      </w:r>
      <w:r w:rsidRPr="00B42482">
        <w:rPr>
          <w:color w:val="003300"/>
        </w:rPr>
        <w:t>provou existir, e que</w:t>
      </w:r>
      <w:r w:rsidR="00783B95" w:rsidRPr="00B42482">
        <w:rPr>
          <w:color w:val="003300"/>
        </w:rPr>
        <w:t>,</w:t>
      </w:r>
      <w:r w:rsidRPr="00B42482">
        <w:rPr>
          <w:color w:val="003300"/>
        </w:rPr>
        <w:t xml:space="preserve"> provavelmente</w:t>
      </w:r>
      <w:r w:rsidR="00783B95" w:rsidRPr="00B42482">
        <w:rPr>
          <w:color w:val="003300"/>
        </w:rPr>
        <w:t>, esta</w:t>
      </w:r>
      <w:r w:rsidRPr="00B42482">
        <w:rPr>
          <w:color w:val="003300"/>
        </w:rPr>
        <w:t xml:space="preserve"> é de origem mental ou espiritual ".</w:t>
      </w:r>
    </w:p>
    <w:p w:rsidR="00DF2A9C" w:rsidRPr="00B42482" w:rsidRDefault="00DF2A9C" w:rsidP="00B42482">
      <w:pPr>
        <w:pStyle w:val="Primeiroavanodecorpodetexto2"/>
        <w:ind w:left="709" w:hanging="272"/>
        <w:rPr>
          <w:color w:val="003300"/>
        </w:rPr>
      </w:pPr>
    </w:p>
    <w:p w:rsidR="00DF2A9C" w:rsidRPr="00B42482" w:rsidRDefault="00DF2A9C" w:rsidP="00B42482">
      <w:pPr>
        <w:ind w:left="7088"/>
        <w:rPr>
          <w:color w:val="003300"/>
        </w:rPr>
      </w:pPr>
      <w:r w:rsidRPr="00B42482">
        <w:rPr>
          <w:snapToGrid w:val="0"/>
          <w:color w:val="003300"/>
        </w:rPr>
        <w:t>L. Ron Hubbard</w:t>
      </w:r>
      <w:r w:rsidRPr="00B42482">
        <w:rPr>
          <w:snapToGrid w:val="0"/>
          <w:color w:val="003300"/>
        </w:rPr>
        <w:br/>
        <w:t>Fundador</w:t>
      </w:r>
    </w:p>
    <w:p w:rsidR="0077373B" w:rsidRPr="00B42482" w:rsidRDefault="0077373B" w:rsidP="00B42482">
      <w:pPr>
        <w:rPr>
          <w:color w:val="003300"/>
        </w:rPr>
      </w:pPr>
      <w:proofErr w:type="spellStart"/>
      <w:r w:rsidRPr="00B42482">
        <w:rPr>
          <w:color w:val="003300"/>
        </w:rPr>
        <w:t>LRH:jw.cden</w:t>
      </w:r>
      <w:proofErr w:type="spellEnd"/>
      <w:r w:rsidRPr="00B42482">
        <w:rPr>
          <w:color w:val="003300"/>
        </w:rPr>
        <w:t xml:space="preserve"> </w:t>
      </w:r>
      <w:r w:rsidR="00783B95" w:rsidRPr="00B42482">
        <w:rPr>
          <w:color w:val="003300"/>
        </w:rPr>
        <w:br/>
      </w:r>
      <w:r w:rsidRPr="00B42482">
        <w:rPr>
          <w:color w:val="003300"/>
        </w:rPr>
        <w:t>Copyright (c) 1965</w:t>
      </w:r>
      <w:r w:rsidR="00783B95" w:rsidRPr="00B42482">
        <w:rPr>
          <w:color w:val="003300"/>
        </w:rPr>
        <w:br/>
      </w:r>
      <w:r w:rsidR="00783B95" w:rsidRPr="00B42482">
        <w:rPr>
          <w:color w:val="003300"/>
        </w:rPr>
        <w:lastRenderedPageBreak/>
        <w:t>por</w:t>
      </w:r>
      <w:r w:rsidRPr="00B42482">
        <w:rPr>
          <w:color w:val="003300"/>
        </w:rPr>
        <w:t xml:space="preserve"> L. Ron Hubbard</w:t>
      </w:r>
      <w:r w:rsidR="00783B95" w:rsidRPr="00B42482">
        <w:rPr>
          <w:color w:val="003300"/>
        </w:rPr>
        <w:br/>
        <w:t>RESERVADOS TODOS OS DIREITOS</w:t>
      </w:r>
    </w:p>
    <w:bookmarkEnd w:id="0"/>
    <w:p w:rsidR="0077373B" w:rsidRPr="00B42482" w:rsidRDefault="0077373B" w:rsidP="00B42482">
      <w:pPr>
        <w:rPr>
          <w:color w:val="003300"/>
        </w:rPr>
      </w:pPr>
    </w:p>
    <w:sectPr w:rsidR="0077373B" w:rsidRPr="00B42482" w:rsidSect="00B42482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140" w:rsidRDefault="00305140" w:rsidP="00B42482">
      <w:r>
        <w:separator/>
      </w:r>
    </w:p>
  </w:endnote>
  <w:endnote w:type="continuationSeparator" w:id="0">
    <w:p w:rsidR="00305140" w:rsidRDefault="00305140" w:rsidP="00B4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FC" w:rsidRDefault="002736FC" w:rsidP="00B42482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36FC" w:rsidRDefault="002736FC" w:rsidP="00B424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FC" w:rsidRDefault="002736FC" w:rsidP="00B4248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3B9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140" w:rsidRDefault="00305140" w:rsidP="00B42482">
      <w:r>
        <w:separator/>
      </w:r>
    </w:p>
  </w:footnote>
  <w:footnote w:type="continuationSeparator" w:id="0">
    <w:p w:rsidR="00305140" w:rsidRDefault="00305140" w:rsidP="00B4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FC" w:rsidRDefault="002736FC" w:rsidP="00B42482">
    <w:r w:rsidRPr="00783B95">
      <w:t>HCOPL de 5 de ABRIL de 1965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92870"/>
    <w:rsid w:val="002736FC"/>
    <w:rsid w:val="00305140"/>
    <w:rsid w:val="003C7456"/>
    <w:rsid w:val="00536599"/>
    <w:rsid w:val="00625C01"/>
    <w:rsid w:val="006500BD"/>
    <w:rsid w:val="00693172"/>
    <w:rsid w:val="0077373B"/>
    <w:rsid w:val="00783B95"/>
    <w:rsid w:val="007A1AB8"/>
    <w:rsid w:val="00997824"/>
    <w:rsid w:val="00A61DB9"/>
    <w:rsid w:val="00AC438A"/>
    <w:rsid w:val="00B003EB"/>
    <w:rsid w:val="00B42482"/>
    <w:rsid w:val="00BB3DC1"/>
    <w:rsid w:val="00BE6502"/>
    <w:rsid w:val="00BF314A"/>
    <w:rsid w:val="00C540E9"/>
    <w:rsid w:val="00C7326A"/>
    <w:rsid w:val="00CA36CF"/>
    <w:rsid w:val="00D675D9"/>
    <w:rsid w:val="00DF2A9C"/>
    <w:rsid w:val="00E13F35"/>
    <w:rsid w:val="00E375E0"/>
    <w:rsid w:val="00E96196"/>
    <w:rsid w:val="00EC5911"/>
    <w:rsid w:val="00EF4C23"/>
    <w:rsid w:val="00F2306A"/>
    <w:rsid w:val="00F503C3"/>
    <w:rsid w:val="00F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2482"/>
    <w:pPr>
      <w:spacing w:after="120"/>
      <w:ind w:firstLine="11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 w:firstLine="28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42482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  <w:jc w:val="both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DF2A9C"/>
  </w:style>
  <w:style w:type="character" w:customStyle="1" w:styleId="CorpodetextoCarter">
    <w:name w:val="Corpo de texto Caráter"/>
    <w:basedOn w:val="Tipodeletrapredefinidodopargrafo"/>
    <w:link w:val="Corpodetexto"/>
    <w:rsid w:val="00DF2A9C"/>
    <w:rPr>
      <w:rFonts w:ascii="CG Times" w:hAnsi="CG Times"/>
      <w:color w:val="008000"/>
      <w:sz w:val="24"/>
    </w:rPr>
  </w:style>
  <w:style w:type="paragraph" w:styleId="Primeiroavanodecorpodetexto">
    <w:name w:val="Body Text First Indent"/>
    <w:basedOn w:val="Corpodetexto"/>
    <w:link w:val="PrimeiroavanodecorpodetextoCarter"/>
    <w:rsid w:val="00DF2A9C"/>
    <w:pPr>
      <w:spacing w:after="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DF2A9C"/>
    <w:rPr>
      <w:rFonts w:ascii="CG Times" w:hAnsi="CG Times"/>
      <w:color w:val="008000"/>
      <w:sz w:val="24"/>
    </w:rPr>
  </w:style>
  <w:style w:type="paragraph" w:styleId="Avanodecorpodetexto">
    <w:name w:val="Body Text Indent"/>
    <w:basedOn w:val="Normal"/>
    <w:link w:val="AvanodecorpodetextoCarter"/>
    <w:rsid w:val="00DF2A9C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F2A9C"/>
    <w:rPr>
      <w:rFonts w:ascii="CG Times" w:hAnsi="CG Times"/>
      <w:color w:val="008000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DF2A9C"/>
    <w:pPr>
      <w:spacing w:after="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DF2A9C"/>
    <w:rPr>
      <w:rFonts w:ascii="CG Times" w:hAnsi="CG Times"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3</cp:revision>
  <cp:lastPrinted>2009-03-03T11:41:00Z</cp:lastPrinted>
  <dcterms:created xsi:type="dcterms:W3CDTF">2017-06-26T19:13:00Z</dcterms:created>
  <dcterms:modified xsi:type="dcterms:W3CDTF">2018-12-06T22:55:00Z</dcterms:modified>
</cp:coreProperties>
</file>