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C19" w:rsidRPr="00BD3E8B" w:rsidRDefault="00261C19" w:rsidP="00247F0C">
      <w:pPr>
        <w:spacing w:before="120"/>
        <w:ind w:left="709" w:right="992" w:firstLine="284"/>
        <w:jc w:val="center"/>
        <w:rPr>
          <w:rFonts w:ascii="Times New Roman" w:hAnsi="Times New Roman"/>
          <w:snapToGrid w:val="0"/>
          <w:color w:val="C00000"/>
          <w:sz w:val="24"/>
        </w:rPr>
      </w:pPr>
      <w:bookmarkStart w:id="0" w:name="_GoBack"/>
      <w:r w:rsidRPr="00BD3E8B">
        <w:rPr>
          <w:rFonts w:ascii="Times New Roman" w:hAnsi="Times New Roman"/>
          <w:snapToGrid w:val="0"/>
          <w:color w:val="C00000"/>
          <w:sz w:val="24"/>
        </w:rPr>
        <w:t xml:space="preserve">GABINETE DE COMUNICAÇÕES </w:t>
      </w:r>
      <w:r w:rsidR="00247F0C" w:rsidRPr="00BD3E8B">
        <w:rPr>
          <w:rFonts w:ascii="Times New Roman" w:hAnsi="Times New Roman"/>
          <w:snapToGrid w:val="0"/>
          <w:color w:val="C00000"/>
          <w:sz w:val="24"/>
        </w:rPr>
        <w:t>HUBBARD</w:t>
      </w:r>
    </w:p>
    <w:p w:rsidR="00261C19" w:rsidRPr="00BD3E8B" w:rsidRDefault="00261C19" w:rsidP="00247F0C">
      <w:pPr>
        <w:spacing w:before="120"/>
        <w:ind w:left="709" w:right="992" w:firstLine="284"/>
        <w:jc w:val="center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>Solar de St. Hill, Grinstead Oriental, Sussex,</w:t>
      </w:r>
    </w:p>
    <w:p w:rsidR="0026082F" w:rsidRPr="00BD3E8B" w:rsidRDefault="00261C19" w:rsidP="00261C19">
      <w:pPr>
        <w:spacing w:before="120"/>
        <w:ind w:left="709" w:right="992" w:firstLine="284"/>
        <w:jc w:val="center"/>
        <w:rPr>
          <w:rFonts w:ascii="Times New Roman" w:hAnsi="Times New Roman"/>
          <w:caps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 xml:space="preserve"> </w:t>
      </w:r>
      <w:r w:rsidR="0026082F" w:rsidRPr="00BD3E8B">
        <w:rPr>
          <w:rFonts w:ascii="Times New Roman" w:hAnsi="Times New Roman"/>
          <w:caps/>
          <w:snapToGrid w:val="0"/>
          <w:color w:val="C00000"/>
          <w:sz w:val="24"/>
        </w:rPr>
        <w:t xml:space="preserve">HCOB de 6 </w:t>
      </w:r>
      <w:r w:rsidRPr="00BD3E8B">
        <w:rPr>
          <w:rFonts w:ascii="Times New Roman" w:hAnsi="Times New Roman"/>
          <w:caps/>
          <w:snapToGrid w:val="0"/>
          <w:color w:val="C00000"/>
          <w:sz w:val="24"/>
        </w:rPr>
        <w:t xml:space="preserve">de </w:t>
      </w:r>
      <w:r w:rsidR="0026082F" w:rsidRPr="00BD3E8B">
        <w:rPr>
          <w:rFonts w:ascii="Times New Roman" w:hAnsi="Times New Roman"/>
          <w:caps/>
          <w:snapToGrid w:val="0"/>
          <w:color w:val="C00000"/>
          <w:sz w:val="24"/>
        </w:rPr>
        <w:t>SETEMBRO de 1978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16"/>
        </w:rPr>
      </w:pPr>
      <w:r w:rsidRPr="00BD3E8B">
        <w:rPr>
          <w:rFonts w:ascii="Times New Roman" w:hAnsi="Times New Roman"/>
          <w:snapToGrid w:val="0"/>
          <w:color w:val="C00000"/>
          <w:sz w:val="16"/>
        </w:rPr>
        <w:t xml:space="preserve">Remimeo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16"/>
        </w:rPr>
      </w:pPr>
      <w:r w:rsidRPr="00BD3E8B">
        <w:rPr>
          <w:rFonts w:ascii="Times New Roman" w:hAnsi="Times New Roman"/>
          <w:snapToGrid w:val="0"/>
          <w:color w:val="C00000"/>
          <w:sz w:val="16"/>
        </w:rPr>
        <w:t xml:space="preserve">Pessoal de </w:t>
      </w:r>
      <w:r w:rsidR="00261C19" w:rsidRPr="00BD3E8B">
        <w:rPr>
          <w:rFonts w:ascii="Times New Roman" w:hAnsi="Times New Roman"/>
          <w:snapToGrid w:val="0"/>
          <w:color w:val="C00000"/>
          <w:sz w:val="16"/>
        </w:rPr>
        <w:t>T</w:t>
      </w:r>
      <w:r w:rsidRPr="00BD3E8B">
        <w:rPr>
          <w:rFonts w:ascii="Times New Roman" w:hAnsi="Times New Roman"/>
          <w:snapToGrid w:val="0"/>
          <w:color w:val="C00000"/>
          <w:sz w:val="16"/>
        </w:rPr>
        <w:t xml:space="preserve">ech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16"/>
        </w:rPr>
      </w:pPr>
      <w:r w:rsidRPr="00BD3E8B">
        <w:rPr>
          <w:rFonts w:ascii="Times New Roman" w:hAnsi="Times New Roman"/>
          <w:snapToGrid w:val="0"/>
          <w:color w:val="C00000"/>
          <w:sz w:val="16"/>
        </w:rPr>
        <w:t xml:space="preserve">Pessoal de Qual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16"/>
        </w:rPr>
      </w:pPr>
      <w:r w:rsidRPr="00BD3E8B">
        <w:rPr>
          <w:rFonts w:ascii="Times New Roman" w:hAnsi="Times New Roman"/>
          <w:snapToGrid w:val="0"/>
          <w:color w:val="C00000"/>
          <w:sz w:val="16"/>
        </w:rPr>
        <w:t xml:space="preserve">HCOs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16"/>
        </w:rPr>
      </w:pPr>
      <w:r w:rsidRPr="00BD3E8B">
        <w:rPr>
          <w:rFonts w:ascii="Times New Roman" w:hAnsi="Times New Roman"/>
          <w:snapToGrid w:val="0"/>
          <w:color w:val="C00000"/>
          <w:sz w:val="16"/>
        </w:rPr>
        <w:t xml:space="preserve">Cursos confessionais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16"/>
        </w:rPr>
      </w:pPr>
      <w:r w:rsidRPr="00BD3E8B">
        <w:rPr>
          <w:rFonts w:ascii="Times New Roman" w:hAnsi="Times New Roman"/>
          <w:snapToGrid w:val="0"/>
          <w:color w:val="C00000"/>
          <w:sz w:val="16"/>
        </w:rPr>
        <w:t>Checksheets nível II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16"/>
        </w:rPr>
      </w:pPr>
      <w:r w:rsidRPr="00BD3E8B">
        <w:rPr>
          <w:rFonts w:ascii="Times New Roman" w:hAnsi="Times New Roman"/>
          <w:snapToGrid w:val="0"/>
          <w:color w:val="C00000"/>
          <w:sz w:val="16"/>
        </w:rPr>
        <w:t xml:space="preserve">Todos os Auditores.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16"/>
        </w:rPr>
      </w:pPr>
      <w:r w:rsidRPr="00BD3E8B">
        <w:rPr>
          <w:rFonts w:ascii="Times New Roman" w:hAnsi="Times New Roman"/>
          <w:snapToGrid w:val="0"/>
          <w:color w:val="C00000"/>
          <w:sz w:val="16"/>
        </w:rPr>
        <w:t xml:space="preserve">Suprs. C/Ses </w:t>
      </w:r>
    </w:p>
    <w:p w:rsidR="0026082F" w:rsidRPr="00BD3E8B" w:rsidRDefault="0026082F" w:rsidP="00247F0C">
      <w:pPr>
        <w:pStyle w:val="Ttulo2"/>
        <w:jc w:val="center"/>
        <w:rPr>
          <w:i w:val="0"/>
          <w:color w:val="C00000"/>
          <w:sz w:val="28"/>
        </w:rPr>
      </w:pPr>
      <w:r w:rsidRPr="00BD3E8B">
        <w:rPr>
          <w:i w:val="0"/>
          <w:color w:val="C00000"/>
          <w:sz w:val="28"/>
        </w:rPr>
        <w:t>PERSEGUIR AGULHAS SUJAS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24"/>
        </w:rPr>
      </w:pP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20"/>
        </w:rPr>
      </w:pPr>
      <w:r w:rsidRPr="00BD3E8B">
        <w:rPr>
          <w:rFonts w:ascii="Times New Roman" w:hAnsi="Times New Roman"/>
          <w:snapToGrid w:val="0"/>
          <w:color w:val="C00000"/>
          <w:sz w:val="20"/>
        </w:rPr>
        <w:t>(Ref: HCOB 3 Se</w:t>
      </w:r>
      <w:r w:rsidR="00247F0C" w:rsidRPr="00BD3E8B">
        <w:rPr>
          <w:rFonts w:ascii="Times New Roman" w:hAnsi="Times New Roman"/>
          <w:snapToGrid w:val="0"/>
          <w:color w:val="C00000"/>
          <w:sz w:val="20"/>
        </w:rPr>
        <w:t>t</w:t>
      </w:r>
      <w:r w:rsidRPr="00BD3E8B">
        <w:rPr>
          <w:rFonts w:ascii="Times New Roman" w:hAnsi="Times New Roman"/>
          <w:snapToGrid w:val="0"/>
          <w:color w:val="C00000"/>
          <w:sz w:val="20"/>
        </w:rPr>
        <w:t xml:space="preserve"> 78 </w:t>
      </w:r>
      <w:r w:rsidR="00261C19" w:rsidRPr="00BD3E8B">
        <w:rPr>
          <w:rFonts w:ascii="Times New Roman" w:hAnsi="Times New Roman"/>
          <w:snapToGrid w:val="0"/>
          <w:color w:val="C00000"/>
          <w:sz w:val="20"/>
        </w:rPr>
        <w:tab/>
      </w:r>
      <w:r w:rsidRPr="00BD3E8B">
        <w:rPr>
          <w:rFonts w:ascii="Times New Roman" w:hAnsi="Times New Roman"/>
          <w:snapToGrid w:val="0"/>
          <w:color w:val="C00000"/>
          <w:sz w:val="20"/>
        </w:rPr>
        <w:tab/>
        <w:t xml:space="preserve">DEFINIÇÃO DE UMA R/S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20"/>
        </w:rPr>
      </w:pPr>
      <w:r w:rsidRPr="00BD3E8B">
        <w:rPr>
          <w:rFonts w:ascii="Times New Roman" w:hAnsi="Times New Roman"/>
          <w:snapToGrid w:val="0"/>
          <w:color w:val="C00000"/>
          <w:sz w:val="20"/>
        </w:rPr>
        <w:t xml:space="preserve">HCOB 28 </w:t>
      </w:r>
      <w:r w:rsidR="0030732E" w:rsidRPr="00BD3E8B">
        <w:rPr>
          <w:rFonts w:ascii="Times New Roman" w:hAnsi="Times New Roman"/>
          <w:snapToGrid w:val="0"/>
          <w:color w:val="C00000"/>
          <w:sz w:val="20"/>
        </w:rPr>
        <w:t>jun.</w:t>
      </w:r>
      <w:r w:rsidRPr="00BD3E8B">
        <w:rPr>
          <w:rFonts w:ascii="Times New Roman" w:hAnsi="Times New Roman"/>
          <w:snapToGrid w:val="0"/>
          <w:color w:val="C00000"/>
          <w:sz w:val="20"/>
        </w:rPr>
        <w:t xml:space="preserve"> 62 </w:t>
      </w:r>
      <w:r w:rsidRPr="00BD3E8B">
        <w:rPr>
          <w:rFonts w:ascii="Times New Roman" w:hAnsi="Times New Roman"/>
          <w:snapToGrid w:val="0"/>
          <w:color w:val="C00000"/>
          <w:sz w:val="20"/>
        </w:rPr>
        <w:tab/>
      </w:r>
      <w:r w:rsidRPr="00BD3E8B">
        <w:rPr>
          <w:rFonts w:ascii="Times New Roman" w:hAnsi="Times New Roman"/>
          <w:snapToGrid w:val="0"/>
          <w:color w:val="C00000"/>
          <w:sz w:val="20"/>
        </w:rPr>
        <w:tab/>
        <w:t xml:space="preserve">AGULHAS SUJAS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20"/>
        </w:rPr>
      </w:pPr>
      <w:r w:rsidRPr="00BD3E8B">
        <w:rPr>
          <w:rFonts w:ascii="Times New Roman" w:hAnsi="Times New Roman"/>
          <w:snapToGrid w:val="0"/>
          <w:color w:val="C00000"/>
          <w:sz w:val="20"/>
        </w:rPr>
        <w:t xml:space="preserve">HCOB 17 maio 69 </w:t>
      </w:r>
      <w:r w:rsidRPr="00BD3E8B">
        <w:rPr>
          <w:rFonts w:ascii="Times New Roman" w:hAnsi="Times New Roman"/>
          <w:snapToGrid w:val="0"/>
          <w:color w:val="C00000"/>
          <w:sz w:val="20"/>
        </w:rPr>
        <w:tab/>
      </w:r>
      <w:r w:rsidR="00261C19" w:rsidRPr="00BD3E8B">
        <w:rPr>
          <w:rFonts w:ascii="Times New Roman" w:hAnsi="Times New Roman"/>
          <w:snapToGrid w:val="0"/>
          <w:color w:val="C00000"/>
          <w:sz w:val="20"/>
        </w:rPr>
        <w:tab/>
      </w:r>
      <w:r w:rsidRPr="00BD3E8B">
        <w:rPr>
          <w:rFonts w:ascii="Times New Roman" w:hAnsi="Times New Roman"/>
          <w:snapToGrid w:val="0"/>
          <w:color w:val="C00000"/>
          <w:sz w:val="20"/>
        </w:rPr>
        <w:t xml:space="preserve">TRs E AGULHAS SUJAS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i/>
          <w:snapToGrid w:val="0"/>
          <w:color w:val="C00000"/>
          <w:sz w:val="20"/>
        </w:rPr>
      </w:pPr>
      <w:r w:rsidRPr="00BD3E8B">
        <w:rPr>
          <w:rFonts w:ascii="Times New Roman" w:hAnsi="Times New Roman"/>
          <w:snapToGrid w:val="0"/>
          <w:color w:val="C00000"/>
          <w:sz w:val="20"/>
        </w:rPr>
        <w:t xml:space="preserve">Exercícios de E-metro 17, 20, 21: O LIVRO DE EXERCÍCIOS de E-METRO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20"/>
        </w:rPr>
      </w:pPr>
      <w:r w:rsidRPr="00BD3E8B">
        <w:rPr>
          <w:rFonts w:ascii="Times New Roman" w:hAnsi="Times New Roman"/>
          <w:snapToGrid w:val="0"/>
          <w:color w:val="C00000"/>
          <w:sz w:val="20"/>
        </w:rPr>
        <w:t xml:space="preserve">FITA: 6205C23 </w:t>
      </w:r>
    </w:p>
    <w:p w:rsidR="0026082F" w:rsidRPr="00BD3E8B" w:rsidRDefault="0026082F">
      <w:pPr>
        <w:ind w:left="709" w:right="990" w:firstLine="284"/>
        <w:rPr>
          <w:rFonts w:ascii="Times New Roman" w:hAnsi="Times New Roman"/>
          <w:snapToGrid w:val="0"/>
          <w:color w:val="C00000"/>
          <w:sz w:val="20"/>
        </w:rPr>
      </w:pPr>
      <w:r w:rsidRPr="00BD3E8B">
        <w:rPr>
          <w:rFonts w:ascii="Times New Roman" w:hAnsi="Times New Roman"/>
          <w:snapToGrid w:val="0"/>
          <w:color w:val="C00000"/>
          <w:sz w:val="20"/>
        </w:rPr>
        <w:t xml:space="preserve">SH TVD-7 </w:t>
      </w:r>
      <w:r w:rsidR="0014628F" w:rsidRPr="00BD3E8B">
        <w:rPr>
          <w:rFonts w:ascii="Times New Roman" w:hAnsi="Times New Roman"/>
          <w:snapToGrid w:val="0"/>
          <w:color w:val="C00000"/>
          <w:sz w:val="20"/>
        </w:rPr>
        <w:t xml:space="preserve">PESCAR &amp; </w:t>
      </w:r>
      <w:r w:rsidR="00247F0C" w:rsidRPr="00BD3E8B">
        <w:rPr>
          <w:rFonts w:ascii="Times New Roman" w:hAnsi="Times New Roman"/>
          <w:snapToGrid w:val="0"/>
          <w:color w:val="C00000"/>
          <w:sz w:val="20"/>
        </w:rPr>
        <w:t>TATEAR</w:t>
      </w:r>
      <w:r w:rsidRPr="00BD3E8B">
        <w:rPr>
          <w:rFonts w:ascii="Times New Roman" w:hAnsi="Times New Roman"/>
          <w:snapToGrid w:val="0"/>
          <w:color w:val="C00000"/>
          <w:sz w:val="20"/>
        </w:rPr>
        <w:t xml:space="preserve"> e CONFERIR AGULHAS SUJAS) 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 xml:space="preserve">A única definição válida de agulha suja é dada no HCOB 3 </w:t>
      </w:r>
      <w:r w:rsidR="0030732E" w:rsidRPr="00BD3E8B">
        <w:rPr>
          <w:rFonts w:ascii="Times New Roman" w:hAnsi="Times New Roman"/>
          <w:snapToGrid w:val="0"/>
          <w:color w:val="C00000"/>
          <w:sz w:val="24"/>
        </w:rPr>
        <w:t>set.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78, DEFINIÇÃO DE R/S, como: 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 xml:space="preserve">“AGULHA SUJA: UMA AGITAÇÃO ERRÁTICA DA AGULHA, ESFARRAPADA, AOS ARRANCOS, COM TIQUES, </w:t>
      </w:r>
      <w:r w:rsidRPr="00BD3E8B">
        <w:rPr>
          <w:rFonts w:ascii="Times New Roman" w:hAnsi="Times New Roman"/>
          <w:caps/>
          <w:snapToGrid w:val="0"/>
          <w:color w:val="C00000"/>
          <w:sz w:val="24"/>
        </w:rPr>
        <w:t>SEM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VARRER O QUADRANTE, E TENDENTE </w:t>
      </w:r>
      <w:r w:rsidRPr="00BD3E8B">
        <w:rPr>
          <w:rFonts w:ascii="Times New Roman" w:hAnsi="Times New Roman"/>
          <w:caps/>
          <w:snapToGrid w:val="0"/>
          <w:color w:val="C00000"/>
          <w:sz w:val="24"/>
        </w:rPr>
        <w:t>a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SER PERSISTENTE. </w:t>
      </w:r>
      <w:r w:rsidRPr="00BD3E8B">
        <w:rPr>
          <w:rFonts w:ascii="Times New Roman" w:hAnsi="Times New Roman"/>
          <w:caps/>
          <w:snapToGrid w:val="0"/>
          <w:color w:val="C00000"/>
          <w:sz w:val="24"/>
        </w:rPr>
        <w:t>Não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É LIMITADA EM AMPLITUDE”.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>É provocada por um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a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de três coisas: 1) os TRs do auditor são maus ou 2) o auditor está a quebrar o Código do Auditor ou 3) o 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Pc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tem </w:t>
      </w:r>
      <w:r w:rsidR="00A60732" w:rsidRPr="00BD3E8B">
        <w:rPr>
          <w:rFonts w:ascii="Times New Roman" w:hAnsi="Times New Roman"/>
          <w:snapToGrid w:val="0"/>
          <w:color w:val="C00000"/>
          <w:sz w:val="24"/>
        </w:rPr>
        <w:t>conten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ções que não deseja 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revela</w:t>
      </w:r>
      <w:r w:rsidRPr="00BD3E8B">
        <w:rPr>
          <w:rFonts w:ascii="Times New Roman" w:hAnsi="Times New Roman"/>
          <w:snapToGrid w:val="0"/>
          <w:color w:val="C00000"/>
          <w:sz w:val="24"/>
        </w:rPr>
        <w:t>r.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 xml:space="preserve">As definições são indicadas no HCOB acima porque é </w:t>
      </w:r>
      <w:r w:rsidRPr="00BD3E8B">
        <w:rPr>
          <w:rFonts w:ascii="Times New Roman" w:hAnsi="Times New Roman"/>
          <w:i/>
          <w:snapToGrid w:val="0"/>
          <w:color w:val="C00000"/>
          <w:sz w:val="24"/>
        </w:rPr>
        <w:t>vital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não confundir uma agulha suja com uma R/S. Elas são leituras claramente diferentes. A diferença é n</w:t>
      </w:r>
      <w:r w:rsidRPr="00BD3E8B">
        <w:rPr>
          <w:rFonts w:ascii="Times New Roman" w:hAnsi="Times New Roman"/>
          <w:i/>
          <w:snapToGrid w:val="0"/>
          <w:color w:val="C00000"/>
          <w:sz w:val="24"/>
        </w:rPr>
        <w:t>o carácter da leitura: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não tem nada a ver com a amplitude,</w:t>
      </w:r>
    </w:p>
    <w:p w:rsidR="0026082F" w:rsidRPr="00BD3E8B" w:rsidRDefault="0026082F">
      <w:pPr>
        <w:pStyle w:val="Corpodetexto"/>
        <w:spacing w:before="120"/>
        <w:ind w:left="709" w:right="992" w:firstLine="284"/>
        <w:jc w:val="both"/>
        <w:rPr>
          <w:color w:val="C00000"/>
        </w:rPr>
      </w:pPr>
      <w:r w:rsidRPr="00BD3E8B">
        <w:rPr>
          <w:color w:val="C00000"/>
        </w:rPr>
        <w:t xml:space="preserve">Os auditores, supervisores e C/Ses têm </w:t>
      </w:r>
      <w:r w:rsidR="0030732E" w:rsidRPr="00BD3E8B">
        <w:rPr>
          <w:color w:val="C00000"/>
        </w:rPr>
        <w:t>de</w:t>
      </w:r>
      <w:r w:rsidRPr="00BD3E8B">
        <w:rPr>
          <w:color w:val="C00000"/>
        </w:rPr>
        <w:t xml:space="preserve"> compreender a diferença entre estas duas leituras</w:t>
      </w:r>
      <w:r w:rsidR="00261C19" w:rsidRPr="00BD3E8B">
        <w:rPr>
          <w:color w:val="C00000"/>
        </w:rPr>
        <w:t>,</w:t>
      </w:r>
      <w:r w:rsidRPr="00BD3E8B">
        <w:rPr>
          <w:color w:val="C00000"/>
        </w:rPr>
        <w:t xml:space="preserve"> e devem poder reconhecer cada uma delas imediatamente quando ocorrem.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color w:val="C00000"/>
          <w:sz w:val="24"/>
        </w:rPr>
        <w:t>Devido às</w:t>
      </w:r>
      <w:r w:rsidRPr="00BD3E8B">
        <w:rPr>
          <w:snapToGrid w:val="0"/>
          <w:color w:val="C00000"/>
          <w:sz w:val="24"/>
        </w:rPr>
        <w:t xml:space="preserve"> causas subjacentes </w:t>
      </w:r>
      <w:r w:rsidRPr="00BD3E8B">
        <w:rPr>
          <w:color w:val="C00000"/>
          <w:sz w:val="24"/>
        </w:rPr>
        <w:t xml:space="preserve">a </w:t>
      </w:r>
      <w:r w:rsidRPr="00BD3E8B">
        <w:rPr>
          <w:snapToGrid w:val="0"/>
          <w:color w:val="C00000"/>
          <w:sz w:val="24"/>
        </w:rPr>
        <w:t>estes dois tipos diferentes de leituras</w:t>
      </w:r>
      <w:r w:rsidRPr="00BD3E8B">
        <w:rPr>
          <w:color w:val="C00000"/>
          <w:sz w:val="24"/>
        </w:rPr>
        <w:t>,</w:t>
      </w:r>
      <w:r w:rsidRPr="00BD3E8B">
        <w:rPr>
          <w:snapToGrid w:val="0"/>
          <w:color w:val="C00000"/>
          <w:sz w:val="24"/>
        </w:rPr>
        <w:t xml:space="preserve"> amb</w:t>
      </w:r>
      <w:r w:rsidRPr="00BD3E8B">
        <w:rPr>
          <w:color w:val="C00000"/>
          <w:sz w:val="24"/>
        </w:rPr>
        <w:t>a</w:t>
      </w:r>
      <w:r w:rsidRPr="00BD3E8B">
        <w:rPr>
          <w:snapToGrid w:val="0"/>
          <w:color w:val="C00000"/>
          <w:sz w:val="24"/>
        </w:rPr>
        <w:t xml:space="preserve">s </w:t>
      </w:r>
      <w:r w:rsidRPr="00BD3E8B">
        <w:rPr>
          <w:color w:val="C00000"/>
          <w:sz w:val="24"/>
        </w:rPr>
        <w:t>tendem a</w:t>
      </w:r>
      <w:r w:rsidRPr="00BD3E8B">
        <w:rPr>
          <w:snapToGrid w:val="0"/>
          <w:color w:val="C00000"/>
          <w:sz w:val="24"/>
        </w:rPr>
        <w:t xml:space="preserve"> aparecer </w:t>
      </w:r>
      <w:r w:rsidRPr="00BD3E8B">
        <w:rPr>
          <w:color w:val="C00000"/>
          <w:sz w:val="24"/>
        </w:rPr>
        <w:t xml:space="preserve">em </w:t>
      </w:r>
      <w:r w:rsidRPr="00BD3E8B">
        <w:rPr>
          <w:snapToGrid w:val="0"/>
          <w:color w:val="C00000"/>
          <w:sz w:val="24"/>
        </w:rPr>
        <w:t>Confession</w:t>
      </w:r>
      <w:r w:rsidRPr="00BD3E8B">
        <w:rPr>
          <w:color w:val="C00000"/>
          <w:sz w:val="24"/>
        </w:rPr>
        <w:t>ai</w:t>
      </w:r>
      <w:r w:rsidRPr="00BD3E8B">
        <w:rPr>
          <w:snapToGrid w:val="0"/>
          <w:color w:val="C00000"/>
          <w:sz w:val="24"/>
        </w:rPr>
        <w:t>s ou ao abordar áreas de O/Ws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. Mas elas são diferentes e o auditor tem </w:t>
      </w:r>
      <w:r w:rsidR="0030732E" w:rsidRPr="00BD3E8B">
        <w:rPr>
          <w:rFonts w:ascii="Times New Roman" w:hAnsi="Times New Roman"/>
          <w:snapToGrid w:val="0"/>
          <w:color w:val="C00000"/>
          <w:sz w:val="24"/>
        </w:rPr>
        <w:t>de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saber a diferença a frio.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 xml:space="preserve">Uma agulha suja não deve ser ignorada especialmente ao fazer qualquer tipo de </w:t>
      </w:r>
      <w:r w:rsidR="00247F0C" w:rsidRPr="00BD3E8B">
        <w:rPr>
          <w:rFonts w:ascii="Times New Roman" w:hAnsi="Times New Roman"/>
          <w:snapToGrid w:val="0"/>
          <w:color w:val="C00000"/>
          <w:sz w:val="24"/>
        </w:rPr>
        <w:t>ação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confessional.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>Se os TRs do auditor estão dentro e ele está a manter o Código do Auditor, uma agulha suja, ou limpará ou se transformará numa R/S. Ela não deverá ser negligenciada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>A agulha suja é o fio mais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 xml:space="preserve"> quente a puxar para encontrar 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e ligar uma R/S. 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i/>
          <w:snapToGrid w:val="0"/>
          <w:color w:val="C00000"/>
          <w:sz w:val="24"/>
        </w:rPr>
        <w:t xml:space="preserve">Seja o que for 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que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est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á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por trás dela, ignorá-l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a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cortará a linha de comm entre o auditor e o 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Pc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e destruirá o ciclo de comm de audição.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>A área que está a produzir uma agulha suja, quando questionada para obter todos os dados, ou limpa ou entra em R/S.</w:t>
      </w:r>
    </w:p>
    <w:p w:rsidR="0026082F" w:rsidRPr="00BD3E8B" w:rsidRDefault="0026082F">
      <w:pPr>
        <w:pStyle w:val="Textodebloco"/>
        <w:spacing w:before="120"/>
        <w:ind w:right="992"/>
        <w:rPr>
          <w:color w:val="C00000"/>
        </w:rPr>
      </w:pPr>
      <w:r w:rsidRPr="00BD3E8B">
        <w:rPr>
          <w:color w:val="C00000"/>
        </w:rPr>
        <w:t>A área que deu agulha suja é considerada limpa quando puder ser revista sem produzir qualquer agulha suja.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 xml:space="preserve">Se ainda produzir uma agulha suja, então há mais sobre a própria </w:t>
      </w:r>
      <w:r w:rsidR="00A60732" w:rsidRPr="00BD3E8B">
        <w:rPr>
          <w:rFonts w:ascii="Times New Roman" w:hAnsi="Times New Roman"/>
          <w:snapToGrid w:val="0"/>
          <w:color w:val="C00000"/>
          <w:sz w:val="24"/>
        </w:rPr>
        <w:t>conten</w:t>
      </w:r>
      <w:r w:rsidRPr="00BD3E8B">
        <w:rPr>
          <w:rFonts w:ascii="Times New Roman" w:hAnsi="Times New Roman"/>
          <w:snapToGrid w:val="0"/>
          <w:color w:val="C00000"/>
          <w:sz w:val="24"/>
        </w:rPr>
        <w:t>ção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,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ou há algo que o 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Pc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não está a revelar sobre a </w:t>
      </w:r>
      <w:r w:rsidR="00A60732" w:rsidRPr="00BD3E8B">
        <w:rPr>
          <w:rFonts w:ascii="Times New Roman" w:hAnsi="Times New Roman"/>
          <w:snapToGrid w:val="0"/>
          <w:color w:val="C00000"/>
          <w:sz w:val="24"/>
        </w:rPr>
        <w:t>conten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ção ou sobre como ele se sente sobre a </w:t>
      </w:r>
      <w:r w:rsidR="00A60732" w:rsidRPr="00BD3E8B">
        <w:rPr>
          <w:rFonts w:ascii="Times New Roman" w:hAnsi="Times New Roman"/>
          <w:snapToGrid w:val="0"/>
          <w:color w:val="C00000"/>
          <w:sz w:val="24"/>
        </w:rPr>
        <w:t>conten</w:t>
      </w:r>
      <w:r w:rsidRPr="00BD3E8B">
        <w:rPr>
          <w:rFonts w:ascii="Times New Roman" w:hAnsi="Times New Roman"/>
          <w:snapToGrid w:val="0"/>
          <w:color w:val="C00000"/>
          <w:sz w:val="24"/>
        </w:rPr>
        <w:t>ção, ou os TRs do auditor são terríveis, porém, perseguida com o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s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TRs d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o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auditor dentro, esta </w:t>
      </w:r>
      <w:r w:rsidRPr="00BD3E8B">
        <w:rPr>
          <w:rFonts w:ascii="Times New Roman" w:hAnsi="Times New Roman"/>
          <w:snapToGrid w:val="0"/>
          <w:color w:val="C00000"/>
          <w:sz w:val="24"/>
        </w:rPr>
        <w:lastRenderedPageBreak/>
        <w:t>agulha suja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,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ou se transforma numa R/S ou limpa completamente. Contudo, até lá, continua suja. 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 xml:space="preserve">O procedimento 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de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pescar uma leitura é coberto na FITA DEMONSTRATIVA DE AUDIÇÃO 6205C23 SH TVD-7, “PESCAR E PROCURAR e CONFERIR AGULHAS SUJAS.” Limpar uma agulha suja está também coberto nos exercícios de E-metro 17, 20 e 21</w:t>
      </w:r>
      <w:r w:rsidR="00261C19" w:rsidRPr="00BD3E8B">
        <w:rPr>
          <w:rFonts w:ascii="Times New Roman" w:hAnsi="Times New Roman"/>
          <w:snapToGrid w:val="0"/>
          <w:color w:val="C00000"/>
          <w:sz w:val="24"/>
        </w:rPr>
        <w:t>,</w:t>
      </w:r>
      <w:r w:rsidRPr="00BD3E8B">
        <w:rPr>
          <w:rFonts w:ascii="Times New Roman" w:hAnsi="Times New Roman"/>
          <w:snapToGrid w:val="0"/>
          <w:color w:val="C00000"/>
          <w:sz w:val="24"/>
        </w:rPr>
        <w:t xml:space="preserve"> e os auditores Classe II e acima devem ser peritos nisto.</w:t>
      </w:r>
    </w:p>
    <w:p w:rsidR="0026082F" w:rsidRPr="00BD3E8B" w:rsidRDefault="0026082F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>A regra é: não IGNORAR AGULHAS SUJAS. PERSEGUI-LAS SEMPRE.</w:t>
      </w:r>
    </w:p>
    <w:p w:rsidR="00261C19" w:rsidRPr="00BD3E8B" w:rsidRDefault="00261C19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</w:p>
    <w:p w:rsidR="00261C19" w:rsidRPr="00BD3E8B" w:rsidRDefault="00261C19">
      <w:pPr>
        <w:spacing w:before="120"/>
        <w:ind w:left="709" w:right="992" w:firstLine="284"/>
        <w:jc w:val="both"/>
        <w:rPr>
          <w:rFonts w:ascii="Times New Roman" w:hAnsi="Times New Roman"/>
          <w:snapToGrid w:val="0"/>
          <w:color w:val="C00000"/>
          <w:sz w:val="24"/>
        </w:rPr>
      </w:pPr>
    </w:p>
    <w:p w:rsidR="0026082F" w:rsidRPr="00BD3E8B" w:rsidRDefault="0026082F">
      <w:pPr>
        <w:ind w:left="709" w:right="990" w:firstLine="284"/>
        <w:jc w:val="right"/>
        <w:rPr>
          <w:rFonts w:ascii="Times New Roman" w:hAnsi="Times New Roman"/>
          <w:snapToGrid w:val="0"/>
          <w:color w:val="C00000"/>
          <w:sz w:val="24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 xml:space="preserve">L. RON HUBBARD </w:t>
      </w:r>
    </w:p>
    <w:p w:rsidR="0026082F" w:rsidRPr="00BD3E8B" w:rsidRDefault="0026082F">
      <w:pPr>
        <w:ind w:left="709" w:right="990" w:firstLine="284"/>
        <w:jc w:val="right"/>
        <w:rPr>
          <w:rFonts w:ascii="Times New Roman" w:hAnsi="Times New Roman"/>
          <w:color w:val="C00000"/>
        </w:rPr>
      </w:pPr>
      <w:r w:rsidRPr="00BD3E8B">
        <w:rPr>
          <w:rFonts w:ascii="Times New Roman" w:hAnsi="Times New Roman"/>
          <w:snapToGrid w:val="0"/>
          <w:color w:val="C00000"/>
          <w:sz w:val="24"/>
        </w:rPr>
        <w:t xml:space="preserve">Fundador </w:t>
      </w:r>
      <w:bookmarkEnd w:id="0"/>
    </w:p>
    <w:sectPr w:rsidR="0026082F" w:rsidRPr="00BD3E8B">
      <w:pgSz w:w="11906" w:h="16838"/>
      <w:pgMar w:top="1134" w:right="567" w:bottom="1134" w:left="851" w:header="720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32"/>
    <w:rsid w:val="0014628F"/>
    <w:rsid w:val="00247F0C"/>
    <w:rsid w:val="0026082F"/>
    <w:rsid w:val="00261C19"/>
    <w:rsid w:val="0030732E"/>
    <w:rsid w:val="00A60732"/>
    <w:rsid w:val="00BD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66E7E-42F7-469D-87B1-0FE242C1D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CG Times" w:hAnsi="CG Times"/>
      <w:color w:val="000000"/>
      <w:sz w:val="22"/>
    </w:rPr>
  </w:style>
  <w:style w:type="paragraph" w:styleId="Ttulo2">
    <w:name w:val="heading 2"/>
    <w:basedOn w:val="Normal"/>
    <w:next w:val="Normal"/>
    <w:qFormat/>
    <w:rsid w:val="00261C19"/>
    <w:pPr>
      <w:keepNext/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1"/>
    </w:pPr>
    <w:rPr>
      <w:rFonts w:ascii="Arial" w:hAnsi="Arial"/>
      <w:b/>
      <w:i/>
      <w:color w:val="auto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 1"/>
    <w:basedOn w:val="Normal"/>
    <w:next w:val="Normal"/>
    <w:qFormat/>
    <w:pPr>
      <w:keepNext/>
      <w:jc w:val="center"/>
      <w:outlineLvl w:val="0"/>
    </w:pPr>
    <w:rPr>
      <w:rFonts w:ascii="Times-Bold" w:hAnsi="Times-Bold"/>
      <w:b/>
      <w:snapToGrid w:val="0"/>
      <w:sz w:val="24"/>
    </w:rPr>
  </w:style>
  <w:style w:type="paragraph" w:styleId="Corpodetexto">
    <w:name w:val="Body Text"/>
    <w:basedOn w:val="Normal"/>
    <w:rPr>
      <w:rFonts w:ascii="Times New Roman" w:hAnsi="Times New Roman"/>
      <w:snapToGrid w:val="0"/>
      <w:sz w:val="24"/>
    </w:rPr>
  </w:style>
  <w:style w:type="paragraph" w:styleId="Textodebloco">
    <w:name w:val="Block Text"/>
    <w:basedOn w:val="Normal"/>
    <w:pPr>
      <w:ind w:left="709" w:right="990" w:firstLine="284"/>
      <w:jc w:val="both"/>
    </w:pPr>
    <w:rPr>
      <w:rFonts w:ascii="Times New Roman" w:hAnsi="Times New Roman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de 6 SETEMBRO de 1978</vt:lpstr>
    </vt:vector>
  </TitlesOfParts>
  <Company>Ron's Org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de 6 SETEMBRO de 1978</dc:title>
  <dc:subject/>
  <dc:creator>Eduardo Freitas</dc:creator>
  <cp:keywords/>
  <dc:description/>
  <cp:lastModifiedBy>Franz Le Gal</cp:lastModifiedBy>
  <cp:revision>3</cp:revision>
  <cp:lastPrinted>2000-10-25T11:17:00Z</cp:lastPrinted>
  <dcterms:created xsi:type="dcterms:W3CDTF">2018-08-22T11:38:00Z</dcterms:created>
  <dcterms:modified xsi:type="dcterms:W3CDTF">2018-10-07T15:07:00Z</dcterms:modified>
</cp:coreProperties>
</file>