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43" w:rsidRPr="008757FC" w:rsidRDefault="00A06643" w:rsidP="008757FC">
      <w:pPr>
        <w:spacing w:after="0"/>
        <w:jc w:val="center"/>
        <w:rPr>
          <w:color w:val="C00000"/>
        </w:rPr>
      </w:pPr>
      <w:bookmarkStart w:id="0" w:name="_GoBack"/>
      <w:r w:rsidRPr="008757FC">
        <w:rPr>
          <w:color w:val="C00000"/>
        </w:rPr>
        <w:t>HUBBARD COMMUNICATIONS OFFICE</w:t>
      </w:r>
    </w:p>
    <w:p w:rsidR="00A06643" w:rsidRPr="008757FC" w:rsidRDefault="00A06643" w:rsidP="008757FC">
      <w:pPr>
        <w:spacing w:after="0"/>
        <w:jc w:val="center"/>
        <w:rPr>
          <w:color w:val="C00000"/>
        </w:rPr>
      </w:pPr>
      <w:r w:rsidRPr="008757FC">
        <w:rPr>
          <w:color w:val="C00000"/>
        </w:rPr>
        <w:t>Saint Hill Manor, East Grinstead, Sussex</w:t>
      </w:r>
    </w:p>
    <w:p w:rsidR="00A06643" w:rsidRPr="008757FC" w:rsidRDefault="00A06643" w:rsidP="008757FC">
      <w:pPr>
        <w:spacing w:after="0"/>
        <w:jc w:val="center"/>
        <w:rPr>
          <w:color w:val="C00000"/>
        </w:rPr>
      </w:pPr>
      <w:r w:rsidRPr="008757FC">
        <w:rPr>
          <w:color w:val="C00000"/>
        </w:rPr>
        <w:t>HCO BULLETIN OF 15 APRIL 1972</w:t>
      </w:r>
    </w:p>
    <w:p w:rsidR="00A06643" w:rsidRPr="008757FC" w:rsidRDefault="00A06643" w:rsidP="008757FC">
      <w:pPr>
        <w:pStyle w:val="Lista"/>
        <w:spacing w:after="0"/>
        <w:rPr>
          <w:color w:val="C00000"/>
        </w:rPr>
      </w:pPr>
      <w:r w:rsidRPr="008757FC">
        <w:rPr>
          <w:color w:val="C00000"/>
        </w:rPr>
        <w:t>Remimeo</w:t>
      </w:r>
    </w:p>
    <w:p w:rsidR="00A06643" w:rsidRPr="008757FC" w:rsidRDefault="00A06643" w:rsidP="008757FC">
      <w:pPr>
        <w:pStyle w:val="Lista"/>
        <w:tabs>
          <w:tab w:val="left" w:pos="3402"/>
        </w:tabs>
        <w:spacing w:after="0"/>
        <w:ind w:left="0" w:firstLine="0"/>
        <w:jc w:val="left"/>
        <w:rPr>
          <w:color w:val="C00000"/>
        </w:rPr>
      </w:pPr>
      <w:r w:rsidRPr="008757FC">
        <w:rPr>
          <w:color w:val="C00000"/>
        </w:rPr>
        <w:t>Central Orgs Academies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>London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 xml:space="preserve">Washington 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(Revised issue of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 xml:space="preserve">Los Angeles 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HCOB 31 Mar 72)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>Johannesburg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>Denmark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>Sydney</w:t>
      </w:r>
      <w:r w:rsidR="00D007DB" w:rsidRPr="008757FC">
        <w:rPr>
          <w:color w:val="C00000"/>
        </w:rPr>
        <w:br/>
      </w:r>
      <w:r w:rsidRPr="008757FC">
        <w:rPr>
          <w:color w:val="C00000"/>
        </w:rPr>
        <w:t>SHs</w:t>
      </w:r>
    </w:p>
    <w:p w:rsidR="00A06643" w:rsidRPr="008757FC" w:rsidRDefault="00A06643" w:rsidP="008757FC">
      <w:pPr>
        <w:pStyle w:val="Ttulo2"/>
        <w:rPr>
          <w:color w:val="C00000"/>
        </w:rPr>
      </w:pPr>
      <w:r w:rsidRPr="008757FC">
        <w:rPr>
          <w:color w:val="C00000"/>
        </w:rPr>
        <w:t>Expanded Dianetics Series 1R</w:t>
      </w:r>
    </w:p>
    <w:p w:rsidR="008757FC" w:rsidRPr="008757FC" w:rsidRDefault="008757FC" w:rsidP="008757FC">
      <w:pPr>
        <w:rPr>
          <w:color w:val="C00000"/>
        </w:rPr>
      </w:pP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EXPANDED DIANETICS is that branch of Dianetics which uses Dianetics in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special ways for specific purposes.</w:t>
      </w:r>
    </w:p>
    <w:p w:rsidR="00A06643" w:rsidRPr="008757FC" w:rsidRDefault="00A06643" w:rsidP="008757FC">
      <w:pPr>
        <w:rPr>
          <w:color w:val="C00000"/>
        </w:rPr>
      </w:pPr>
      <w:r w:rsidRPr="008757FC">
        <w:rPr>
          <w:color w:val="C00000"/>
        </w:rPr>
        <w:t>It is not HSDC Dianetics. Its position on the Grade and Class Chart would be just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above Class IV. Its proper number is Class IVA.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It uses Dianetics to change an Oxford Capacity Analysis (or an American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Personality Analysis) and is run directly against these analysis graphs and the “Science of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Survival Hubbard Chart of Human Evaluation”.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EXPANDED DIANETICS IS NOT THE SAME AS STANDARD DIANETICS AS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IT REQUIRES SPECIAL TRAINING AND ADVANCED SKILLS.</w:t>
      </w:r>
      <w:r w:rsidR="00D007DB" w:rsidRPr="008757FC">
        <w:rPr>
          <w:color w:val="C00000"/>
        </w:rPr>
        <w:t xml:space="preserve">  </w:t>
      </w:r>
      <w:r w:rsidRPr="008757FC">
        <w:rPr>
          <w:color w:val="C00000"/>
        </w:rPr>
        <w:t>The HSDC is qualified to run Standard Dianetics. He is not authorized to run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EXPANDED DIANETICS without special training.</w:t>
      </w:r>
    </w:p>
    <w:p w:rsidR="00A06643" w:rsidRPr="008757FC" w:rsidRDefault="00A06643" w:rsidP="008757FC">
      <w:pPr>
        <w:rPr>
          <w:color w:val="C00000"/>
        </w:rPr>
      </w:pPr>
      <w:r w:rsidRPr="008757FC">
        <w:rPr>
          <w:color w:val="C00000"/>
        </w:rPr>
        <w:t>DO NOT MIX EXPANDED DIANETICS INTO STANDARD DIANETICS.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It often happens that one technology’s skills are mingled with another’s. The result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is that neither then work.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Standard Dianetics will go right on producing results.</w:t>
      </w:r>
      <w:r w:rsidR="00D007DB" w:rsidRPr="008757FC">
        <w:rPr>
          <w:color w:val="C00000"/>
        </w:rPr>
        <w:t xml:space="preserve">  </w:t>
      </w:r>
      <w:r w:rsidRPr="008757FC">
        <w:rPr>
          <w:color w:val="C00000"/>
        </w:rPr>
        <w:t>The main difference between these two branches is that Standard Dianetics is very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general in application. Expanded Dianetics is very specifically adjusted to the pc.</w:t>
      </w:r>
      <w:r w:rsidR="00D007DB" w:rsidRPr="008757FC">
        <w:rPr>
          <w:color w:val="C00000"/>
        </w:rPr>
        <w:t xml:space="preserve">  </w:t>
      </w:r>
      <w:r w:rsidRPr="008757FC">
        <w:rPr>
          <w:color w:val="C00000"/>
        </w:rPr>
        <w:t>Some pcs, particularly heavy drug cases, or who have been given injurious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psychiatric treatment or who are physically disabled or who are chronically ill or who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have had trouble running engrams (to name a few) require a specially adapted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technology.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A very good Dianetic and Class IV auditor (preferably HSDC &amp; Class VI) can be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specially trained to run Dianetics against the OCA or the Chart of Human Evaluation and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handle other items of great value to a pc.</w:t>
      </w:r>
    </w:p>
    <w:p w:rsidR="00A06643" w:rsidRPr="008757FC" w:rsidRDefault="00A06643" w:rsidP="008757FC">
      <w:pPr>
        <w:keepNext/>
        <w:jc w:val="center"/>
        <w:rPr>
          <w:b/>
          <w:color w:val="C00000"/>
        </w:rPr>
      </w:pPr>
      <w:r w:rsidRPr="008757FC">
        <w:rPr>
          <w:b/>
          <w:color w:val="C00000"/>
        </w:rPr>
        <w:t>STUDY</w:t>
      </w:r>
    </w:p>
    <w:p w:rsidR="00A06643" w:rsidRPr="008757FC" w:rsidRDefault="00A06643" w:rsidP="008757FC">
      <w:pPr>
        <w:pStyle w:val="Lista"/>
        <w:rPr>
          <w:color w:val="C00000"/>
        </w:rPr>
      </w:pPr>
      <w:r w:rsidRPr="008757FC">
        <w:rPr>
          <w:color w:val="C00000"/>
        </w:rPr>
        <w:t>(Subject to Change)</w:t>
      </w:r>
    </w:p>
    <w:p w:rsidR="00A06643" w:rsidRPr="008757FC" w:rsidRDefault="00A06643" w:rsidP="008757FC">
      <w:pPr>
        <w:pStyle w:val="Lista"/>
        <w:rPr>
          <w:color w:val="C00000"/>
        </w:rPr>
      </w:pPr>
      <w:r w:rsidRPr="008757FC">
        <w:rPr>
          <w:color w:val="C00000"/>
        </w:rPr>
        <w:t>This training would consist of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1.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HSDC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2.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STANDARD DIANETIC INTERNE HGC OK TO AUDIT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lastRenderedPageBreak/>
        <w:t>3.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Class 0-IV Academy (or Class VI)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4.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PRIMARY CORRECTION RD HCOB 30 Mar 72 if Primary RD not done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5.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Full Word Clearer Rating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6.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FESing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7.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Expanded Dianetic Tapes and HCOBs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8.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Programming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9.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C/S Folder Study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10.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Active Auditing on the skills taught</w:t>
      </w:r>
    </w:p>
    <w:p w:rsidR="00A06643" w:rsidRPr="008757FC" w:rsidRDefault="00A06643" w:rsidP="008757FC">
      <w:pPr>
        <w:pStyle w:val="Lista2"/>
        <w:rPr>
          <w:color w:val="C00000"/>
        </w:rPr>
      </w:pPr>
      <w:r w:rsidRPr="008757FC">
        <w:rPr>
          <w:color w:val="C00000"/>
        </w:rPr>
        <w:t>11.</w:t>
      </w:r>
      <w:r w:rsidR="00D007DB" w:rsidRPr="008757FC">
        <w:rPr>
          <w:color w:val="C00000"/>
        </w:rPr>
        <w:tab/>
      </w:r>
      <w:r w:rsidRPr="008757FC">
        <w:rPr>
          <w:color w:val="C00000"/>
        </w:rPr>
        <w:t>C/Sing Expanded Dianetics.</w:t>
      </w:r>
    </w:p>
    <w:p w:rsidR="00A06643" w:rsidRPr="008757FC" w:rsidRDefault="00A06643" w:rsidP="008757FC">
      <w:pPr>
        <w:keepNext/>
        <w:jc w:val="center"/>
        <w:rPr>
          <w:b/>
          <w:color w:val="C00000"/>
        </w:rPr>
      </w:pPr>
      <w:r w:rsidRPr="008757FC">
        <w:rPr>
          <w:b/>
          <w:color w:val="C00000"/>
        </w:rPr>
        <w:t>CERTIFICATE</w:t>
      </w:r>
    </w:p>
    <w:p w:rsidR="00A06643" w:rsidRPr="008757FC" w:rsidRDefault="00A06643" w:rsidP="008757FC">
      <w:pPr>
        <w:rPr>
          <w:color w:val="C00000"/>
        </w:rPr>
      </w:pPr>
      <w:r w:rsidRPr="008757FC">
        <w:rPr>
          <w:color w:val="C00000"/>
        </w:rPr>
        <w:t>The Certificate would be HUBBARD GRADUATE DIANETIC SPECIALIST.</w:t>
      </w:r>
    </w:p>
    <w:p w:rsidR="00A06643" w:rsidRPr="008757FC" w:rsidRDefault="00A06643" w:rsidP="008757FC">
      <w:pPr>
        <w:rPr>
          <w:color w:val="C00000"/>
        </w:rPr>
      </w:pPr>
      <w:r w:rsidRPr="008757FC">
        <w:rPr>
          <w:color w:val="C00000"/>
        </w:rPr>
        <w:t>The Certificate Level is just above Class IV.</w:t>
      </w:r>
    </w:p>
    <w:p w:rsidR="00A06643" w:rsidRPr="008757FC" w:rsidRDefault="00A06643" w:rsidP="008757FC">
      <w:pPr>
        <w:rPr>
          <w:color w:val="C00000"/>
        </w:rPr>
      </w:pPr>
      <w:r w:rsidRPr="008757FC">
        <w:rPr>
          <w:color w:val="C00000"/>
        </w:rPr>
        <w:t>Class IV is required. A Class VI SHSBC may be substituted for Class IV.</w:t>
      </w:r>
    </w:p>
    <w:p w:rsidR="00A06643" w:rsidRPr="008757FC" w:rsidRDefault="00A06643" w:rsidP="008757FC">
      <w:pPr>
        <w:keepNext/>
        <w:jc w:val="center"/>
        <w:rPr>
          <w:b/>
          <w:color w:val="C00000"/>
        </w:rPr>
      </w:pPr>
      <w:r w:rsidRPr="008757FC">
        <w:rPr>
          <w:b/>
          <w:color w:val="C00000"/>
        </w:rPr>
        <w:t>CHARGES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Hours of Expanded Dianetics, because of the skills required, should be at least half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again or double as much as Standard Dianetic Auditing or Lower Grade Auditing.</w:t>
      </w:r>
      <w:r w:rsidR="00D007DB" w:rsidRPr="008757FC">
        <w:rPr>
          <w:color w:val="C00000"/>
        </w:rPr>
        <w:t xml:space="preserve">  </w:t>
      </w:r>
      <w:r w:rsidRPr="008757FC">
        <w:rPr>
          <w:color w:val="C00000"/>
        </w:rPr>
        <w:t>The cost of the Course would be the same as the HSDC Course and additional to it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plus Interne fees.</w:t>
      </w:r>
    </w:p>
    <w:p w:rsidR="00A06643" w:rsidRPr="008757FC" w:rsidRDefault="00A06643" w:rsidP="008757FC">
      <w:pPr>
        <w:keepNext/>
        <w:jc w:val="center"/>
        <w:rPr>
          <w:b/>
          <w:color w:val="C00000"/>
        </w:rPr>
      </w:pPr>
      <w:r w:rsidRPr="008757FC">
        <w:rPr>
          <w:b/>
          <w:color w:val="C00000"/>
        </w:rPr>
        <w:t>PREREQUISITE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HSDC and Dianetic Interneship minimum with a successful period of Standard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Dianetic Auditing as an auditor and is Class IV or VI.</w:t>
      </w:r>
      <w:r w:rsidR="00D007DB" w:rsidRPr="008757FC">
        <w:rPr>
          <w:color w:val="C00000"/>
        </w:rPr>
        <w:t xml:space="preserve">  </w:t>
      </w:r>
      <w:r w:rsidRPr="008757FC">
        <w:rPr>
          <w:color w:val="C00000"/>
        </w:rPr>
        <w:t>Case gain as a Dianetic pc, and all Lower Grades Triple.</w:t>
      </w:r>
    </w:p>
    <w:p w:rsidR="00A06643" w:rsidRPr="008757FC" w:rsidRDefault="00A06643" w:rsidP="008757FC">
      <w:pPr>
        <w:keepNext/>
        <w:jc w:val="center"/>
        <w:rPr>
          <w:b/>
          <w:color w:val="C00000"/>
        </w:rPr>
      </w:pPr>
      <w:r w:rsidRPr="008757FC">
        <w:rPr>
          <w:b/>
          <w:color w:val="C00000"/>
        </w:rPr>
        <w:t>DEVELOPMENT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Neither the Course nor Expanded Dianetic Auditing may be sold by an org unless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the org has an Expanded Dianetic Specialist, to be specific, an HGDS.</w:t>
      </w:r>
    </w:p>
    <w:p w:rsidR="00A06643" w:rsidRPr="008757FC" w:rsidRDefault="00A06643" w:rsidP="008757FC">
      <w:pPr>
        <w:pStyle w:val="Corpodetexto"/>
        <w:rPr>
          <w:i/>
          <w:color w:val="C00000"/>
        </w:rPr>
      </w:pPr>
      <w:r w:rsidRPr="008757FC">
        <w:rPr>
          <w:color w:val="C00000"/>
        </w:rPr>
        <w:t>WHEN RELEASED THE COURSE WILL BE TAUGHT IN CENTRAL ORGS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(LONDON, WASHINGTON, LOS ANGELES, JOHANNESBURG, DENMARK AND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SYDNEY) AND SHs. IT IS THE SPECIAL COURSE THE CONTINENTAL CENTRAL</w:t>
      </w:r>
      <w:r w:rsidR="00D007DB" w:rsidRPr="008757FC">
        <w:rPr>
          <w:color w:val="C00000"/>
        </w:rPr>
        <w:t xml:space="preserve"> </w:t>
      </w:r>
      <w:r w:rsidRPr="008757FC">
        <w:rPr>
          <w:i/>
          <w:color w:val="C00000"/>
        </w:rPr>
        <w:t>ORG TEACHES.</w:t>
      </w:r>
    </w:p>
    <w:p w:rsidR="00A06643" w:rsidRPr="008757FC" w:rsidRDefault="00A06643" w:rsidP="008757FC">
      <w:pPr>
        <w:rPr>
          <w:color w:val="C00000"/>
        </w:rPr>
      </w:pPr>
      <w:r w:rsidRPr="008757FC">
        <w:rPr>
          <w:color w:val="C00000"/>
        </w:rPr>
        <w:t>The HCOBs relating to Expanded Dianetics will be released as a part of this series so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that orgs will have them when it comes time for them to acquire the tapes and teach this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course.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>In the meanwhile these orgs should be making HSDCs and Class IVs.</w:t>
      </w:r>
      <w:r w:rsidR="00D007DB" w:rsidRPr="008757FC">
        <w:rPr>
          <w:color w:val="C00000"/>
        </w:rPr>
        <w:t xml:space="preserve">  </w:t>
      </w:r>
      <w:r w:rsidRPr="008757FC">
        <w:rPr>
          <w:color w:val="C00000"/>
        </w:rPr>
        <w:t>PERSONS NOT TRAINED ON IT MAY NOT RUN IT OR USE IT REGARDLESS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OF CLASS.</w:t>
      </w:r>
    </w:p>
    <w:p w:rsidR="00A06643" w:rsidRPr="008757FC" w:rsidRDefault="00A06643" w:rsidP="008757FC">
      <w:pPr>
        <w:pStyle w:val="Corpodetexto"/>
        <w:rPr>
          <w:color w:val="C00000"/>
        </w:rPr>
      </w:pPr>
      <w:r w:rsidRPr="008757FC">
        <w:rPr>
          <w:color w:val="C00000"/>
        </w:rPr>
        <w:t xml:space="preserve">To repeat, Expanded Dianetics does </w:t>
      </w:r>
      <w:r w:rsidRPr="008757FC">
        <w:rPr>
          <w:i/>
          <w:iCs/>
          <w:color w:val="C00000"/>
        </w:rPr>
        <w:t xml:space="preserve">not </w:t>
      </w:r>
      <w:r w:rsidRPr="008757FC">
        <w:rPr>
          <w:color w:val="C00000"/>
        </w:rPr>
        <w:t>replace Standard Dianetics or any other</w:t>
      </w:r>
      <w:r w:rsidR="00D007DB" w:rsidRPr="008757FC">
        <w:rPr>
          <w:color w:val="C00000"/>
        </w:rPr>
        <w:t xml:space="preserve"> </w:t>
      </w:r>
      <w:r w:rsidRPr="008757FC">
        <w:rPr>
          <w:color w:val="C00000"/>
        </w:rPr>
        <w:t>Class and is itself and is used for its own specific purposes on special cases.</w:t>
      </w:r>
    </w:p>
    <w:p w:rsidR="00A06643" w:rsidRPr="008757FC" w:rsidRDefault="00A06643" w:rsidP="008757FC">
      <w:pPr>
        <w:pStyle w:val="Lista"/>
        <w:tabs>
          <w:tab w:val="left" w:pos="6663"/>
        </w:tabs>
        <w:rPr>
          <w:color w:val="C00000"/>
        </w:rPr>
      </w:pPr>
      <w:r w:rsidRPr="008757FC">
        <w:rPr>
          <w:color w:val="C00000"/>
        </w:rPr>
        <w:t xml:space="preserve">LRH:nt.rd L. </w:t>
      </w:r>
      <w:r w:rsidR="008757FC" w:rsidRPr="008757FC">
        <w:rPr>
          <w:color w:val="C00000"/>
        </w:rPr>
        <w:tab/>
      </w:r>
      <w:r w:rsidRPr="008757FC">
        <w:rPr>
          <w:color w:val="C00000"/>
        </w:rPr>
        <w:t>RON HUBBARD</w:t>
      </w:r>
    </w:p>
    <w:p w:rsidR="00A06643" w:rsidRPr="008757FC" w:rsidRDefault="00A06643" w:rsidP="008757FC">
      <w:pPr>
        <w:pStyle w:val="Lista"/>
        <w:tabs>
          <w:tab w:val="left" w:pos="6663"/>
        </w:tabs>
        <w:rPr>
          <w:color w:val="C00000"/>
        </w:rPr>
      </w:pPr>
      <w:r w:rsidRPr="008757FC">
        <w:rPr>
          <w:color w:val="C00000"/>
        </w:rPr>
        <w:t xml:space="preserve">Copyright © 1972 </w:t>
      </w:r>
      <w:r w:rsidR="008757FC" w:rsidRPr="008757FC">
        <w:rPr>
          <w:color w:val="C00000"/>
        </w:rPr>
        <w:tab/>
      </w:r>
      <w:r w:rsidRPr="008757FC">
        <w:rPr>
          <w:color w:val="C00000"/>
        </w:rPr>
        <w:t>Founder</w:t>
      </w:r>
    </w:p>
    <w:p w:rsidR="00A06643" w:rsidRPr="008757FC" w:rsidRDefault="00A06643" w:rsidP="008757FC">
      <w:pPr>
        <w:pStyle w:val="Autoria"/>
        <w:tabs>
          <w:tab w:val="left" w:pos="6663"/>
        </w:tabs>
        <w:rPr>
          <w:color w:val="C00000"/>
        </w:rPr>
      </w:pPr>
      <w:r w:rsidRPr="008757FC">
        <w:rPr>
          <w:color w:val="C00000"/>
        </w:rPr>
        <w:t>by L. Ron Hubbard</w:t>
      </w:r>
    </w:p>
    <w:p w:rsidR="00A06643" w:rsidRPr="008757FC" w:rsidRDefault="00A06643" w:rsidP="008757FC">
      <w:pPr>
        <w:pStyle w:val="Corpodetexto"/>
        <w:tabs>
          <w:tab w:val="left" w:pos="6663"/>
        </w:tabs>
        <w:rPr>
          <w:color w:val="C00000"/>
          <w:szCs w:val="20"/>
        </w:rPr>
      </w:pPr>
      <w:r w:rsidRPr="008757FC">
        <w:rPr>
          <w:color w:val="C00000"/>
        </w:rPr>
        <w:t>ALL RIGHTS RESERVED</w:t>
      </w:r>
      <w:bookmarkEnd w:id="0"/>
    </w:p>
    <w:sectPr w:rsidR="00A06643" w:rsidRPr="008757FC" w:rsidSect="003A5B0D">
      <w:pgSz w:w="12240" w:h="15840"/>
      <w:pgMar w:top="1440" w:right="1325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1418"/>
  <w:drawingGridVerticalOrigin w:val="141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43"/>
    <w:rsid w:val="002562B5"/>
    <w:rsid w:val="003A5B0D"/>
    <w:rsid w:val="00575F3A"/>
    <w:rsid w:val="005E73FD"/>
    <w:rsid w:val="007F05A1"/>
    <w:rsid w:val="008757FC"/>
    <w:rsid w:val="00A06643"/>
    <w:rsid w:val="00B537EA"/>
    <w:rsid w:val="00D007DB"/>
    <w:rsid w:val="00DE0760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5D295"/>
  <w15:chartTrackingRefBased/>
  <w15:docId w15:val="{861EF30A-44DA-4CE5-82FE-5E8C7771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57FC"/>
    <w:pPr>
      <w:spacing w:after="120"/>
      <w:jc w:val="both"/>
    </w:pPr>
    <w:rPr>
      <w:rFonts w:ascii="Garamond" w:hAnsi="Garamond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cter"/>
    <w:qFormat/>
    <w:rsid w:val="00D007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qFormat/>
    <w:rsid w:val="008757FC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Título 3"/>
    <w:basedOn w:val="Normal"/>
    <w:next w:val="Normal"/>
    <w:qFormat/>
    <w:rsid w:val="00D00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Lista">
    <w:name w:val="List"/>
    <w:basedOn w:val="Normal"/>
    <w:rsid w:val="00D007DB"/>
    <w:pPr>
      <w:ind w:left="283" w:hanging="283"/>
    </w:pPr>
  </w:style>
  <w:style w:type="paragraph" w:styleId="Lista2">
    <w:name w:val="List 2"/>
    <w:basedOn w:val="Normal"/>
    <w:rsid w:val="00D007DB"/>
    <w:pPr>
      <w:ind w:left="566" w:hanging="283"/>
    </w:pPr>
  </w:style>
  <w:style w:type="paragraph" w:styleId="Listadecont2">
    <w:name w:val="List Continue 2"/>
    <w:basedOn w:val="Normal"/>
    <w:rsid w:val="00D007DB"/>
    <w:pPr>
      <w:ind w:left="566"/>
    </w:pPr>
  </w:style>
  <w:style w:type="paragraph" w:styleId="Corpodetexto">
    <w:name w:val="Body Text"/>
    <w:basedOn w:val="Normal"/>
    <w:link w:val="CorpodetextoCarcter"/>
    <w:rsid w:val="00D007DB"/>
  </w:style>
  <w:style w:type="paragraph" w:customStyle="1" w:styleId="Autoria">
    <w:name w:val="Autoria"/>
    <w:basedOn w:val="Corpodetexto"/>
    <w:rsid w:val="00D007DB"/>
  </w:style>
  <w:style w:type="character" w:customStyle="1" w:styleId="CorpodetextoCarcter">
    <w:name w:val="Corpo de texto Carácter"/>
    <w:basedOn w:val="Tipodeletrapredefinidodopargrafo"/>
    <w:link w:val="Corpodetexto"/>
    <w:rsid w:val="003A5B0D"/>
    <w:rPr>
      <w:rFonts w:ascii="Tahoma" w:hAnsi="Tahoma"/>
      <w:szCs w:val="24"/>
    </w:rPr>
  </w:style>
  <w:style w:type="character" w:customStyle="1" w:styleId="Ttulo1Carcter">
    <w:name w:val="Título 1 Carácter"/>
    <w:basedOn w:val="Tipodeletrapredefinidodopargrafo"/>
    <w:link w:val="Ttulo1"/>
    <w:rsid w:val="003A5B0D"/>
    <w:rPr>
      <w:rFonts w:ascii="Arial" w:hAnsi="Arial" w:cs="Arial"/>
      <w:b/>
      <w:bCs/>
      <w:kern w:val="32"/>
      <w:sz w:val="32"/>
      <w:szCs w:val="32"/>
    </w:rPr>
  </w:style>
  <w:style w:type="character" w:styleId="Forte">
    <w:name w:val="Strong"/>
    <w:basedOn w:val="Tipodeletrapredefinidodopargrafo"/>
    <w:qFormat/>
    <w:rsid w:val="003A5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>HUBBARD COMMUNICATIONS OFFICE</vt:lpstr>
      <vt:lpstr>    Expanded Dianetics Series 1R</vt:lpstr>
      <vt:lpstr>        DO NOT MIX EXPANDED DIANETICS INTO STANDARD DIANETICS.</vt:lpstr>
      <vt:lpstr>        STUDY</vt:lpstr>
      <vt:lpstr>        CERTIFICATE</vt:lpstr>
      <vt:lpstr>        CHARGES</vt:lpstr>
      <vt:lpstr>        PREREQUISITE</vt:lpstr>
      <vt:lpstr>        DEVELOPMENT</vt:lpstr>
      <vt:lpstr>C/S RESPONSIBILITY</vt:lpstr>
      <vt:lpstr>REPAIR</vt:lpstr>
      <vt:lpstr>THE COMMON FACTOR IN EVERY ONE WAS CASE BY-PASSED DUE TO “NO INTEREST”.</vt:lpstr>
      <vt:lpstr>IF THEY READ, RUN THEM!</vt:lpstr>
      <vt:lpstr>REPAIR</vt:lpstr>
    </vt:vector>
  </TitlesOfParts>
  <Company>ke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cp:lastModifiedBy>CAL</cp:lastModifiedBy>
  <cp:revision>2</cp:revision>
  <dcterms:created xsi:type="dcterms:W3CDTF">2018-07-18T22:13:00Z</dcterms:created>
  <dcterms:modified xsi:type="dcterms:W3CDTF">2018-07-18T22:13:00Z</dcterms:modified>
</cp:coreProperties>
</file>