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D022FF" w:rsidRDefault="009948BE">
      <w:pPr>
        <w:pStyle w:val="Corpodetexto"/>
        <w:rPr>
          <w:color w:val="FF0000"/>
        </w:rPr>
      </w:pPr>
      <w:bookmarkStart w:id="0" w:name="_GoBack"/>
      <w:r w:rsidRPr="00D022FF">
        <w:rPr>
          <w:color w:val="FF0000"/>
        </w:rPr>
        <w:t>HUBBARD COMMUNICATIONS OFFICE</w:t>
      </w:r>
      <w:r w:rsidRPr="00D022FF">
        <w:rPr>
          <w:color w:val="FF0000"/>
        </w:rPr>
        <w:br/>
        <w:t>Saint Hill Manor, East Grinstead, Sussex</w:t>
      </w:r>
      <w:r w:rsidRPr="00D022FF">
        <w:rPr>
          <w:color w:val="FF0000"/>
        </w:rPr>
        <w:br/>
        <w:t>HCO BULLETIN OF 30 APRIL 1979</w:t>
      </w:r>
    </w:p>
    <w:p w:rsidR="00000000" w:rsidRPr="00D022FF" w:rsidRDefault="009948BE">
      <w:pPr>
        <w:autoSpaceDE w:val="0"/>
        <w:autoSpaceDN w:val="0"/>
        <w:adjustRightInd w:val="0"/>
        <w:jc w:val="left"/>
        <w:rPr>
          <w:color w:val="FF0000"/>
          <w:sz w:val="18"/>
          <w:lang w:val="en-GB"/>
        </w:rPr>
      </w:pPr>
      <w:r w:rsidRPr="00D022FF">
        <w:rPr>
          <w:color w:val="FF0000"/>
          <w:sz w:val="18"/>
          <w:lang w:val="en-GB"/>
        </w:rPr>
        <w:t>All C/Ses</w:t>
      </w:r>
      <w:r w:rsidRPr="00D022FF">
        <w:rPr>
          <w:color w:val="FF0000"/>
          <w:sz w:val="18"/>
          <w:lang w:val="en-GB"/>
        </w:rPr>
        <w:br/>
        <w:t>NED Auditors</w:t>
      </w:r>
      <w:r w:rsidRPr="00D022FF">
        <w:rPr>
          <w:color w:val="FF0000"/>
          <w:sz w:val="18"/>
          <w:lang w:val="en-GB"/>
        </w:rPr>
        <w:br/>
        <w:t xml:space="preserve">Qual/Tech Staff </w:t>
      </w:r>
      <w:r w:rsidRPr="00D022FF">
        <w:rPr>
          <w:color w:val="FF0000"/>
          <w:sz w:val="18"/>
          <w:lang w:val="en-GB"/>
        </w:rPr>
        <w:tab/>
      </w:r>
      <w:r w:rsidRPr="00D022FF">
        <w:rPr>
          <w:color w:val="FF0000"/>
          <w:lang w:val="en-GB"/>
        </w:rPr>
        <w:tab/>
      </w:r>
      <w:r w:rsidRPr="00D022FF">
        <w:rPr>
          <w:color w:val="FF0000"/>
          <w:lang w:val="en-GB"/>
        </w:rPr>
        <w:tab/>
      </w:r>
      <w:r w:rsidRPr="00D022FF">
        <w:rPr>
          <w:color w:val="FF0000"/>
          <w:lang w:val="en-GB"/>
        </w:rPr>
        <w:tab/>
      </w:r>
      <w:r w:rsidRPr="00D022FF">
        <w:rPr>
          <w:b/>
          <w:bCs/>
          <w:i/>
          <w:iCs/>
          <w:color w:val="FF0000"/>
          <w:lang w:val="en-GB"/>
        </w:rPr>
        <w:t>C/S Series 106</w:t>
      </w:r>
      <w:r w:rsidRPr="00D022FF">
        <w:rPr>
          <w:b/>
          <w:bCs/>
          <w:i/>
          <w:iCs/>
          <w:color w:val="FF0000"/>
          <w:lang w:val="en-GB"/>
        </w:rPr>
        <w:br/>
      </w:r>
      <w:r w:rsidRPr="00D022FF">
        <w:rPr>
          <w:color w:val="FF0000"/>
          <w:sz w:val="18"/>
          <w:lang w:val="en-GB"/>
        </w:rPr>
        <w:t>HCO</w:t>
      </w:r>
      <w:r w:rsidRPr="00D022FF">
        <w:rPr>
          <w:color w:val="FF0000"/>
          <w:sz w:val="18"/>
          <w:lang w:val="en-GB"/>
        </w:rPr>
        <w:br/>
      </w:r>
      <w:proofErr w:type="spellStart"/>
      <w:r w:rsidRPr="00D022FF">
        <w:rPr>
          <w:color w:val="FF0000"/>
          <w:sz w:val="18"/>
          <w:lang w:val="en-GB"/>
        </w:rPr>
        <w:t>KOTs</w:t>
      </w:r>
      <w:proofErr w:type="spellEnd"/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</w:p>
    <w:p w:rsidR="00000000" w:rsidRPr="00D022FF" w:rsidRDefault="009948BE" w:rsidP="00D022FF">
      <w:pPr>
        <w:pStyle w:val="Cabealho2"/>
        <w:rPr>
          <w:color w:val="FF0000"/>
        </w:rPr>
      </w:pPr>
      <w:r w:rsidRPr="00D022FF">
        <w:rPr>
          <w:color w:val="FF0000"/>
        </w:rPr>
        <w:t>AUDITING THE DIANETIC CLEAR</w:t>
      </w:r>
    </w:p>
    <w:p w:rsidR="00000000" w:rsidRPr="00D022FF" w:rsidRDefault="009948BE">
      <w:pPr>
        <w:rPr>
          <w:color w:val="FF0000"/>
          <w:lang w:val="en-GB"/>
        </w:rPr>
      </w:pPr>
    </w:p>
    <w:p w:rsidR="00000000" w:rsidRPr="00D022FF" w:rsidRDefault="009948BE">
      <w:pPr>
        <w:pStyle w:val="Corpodetexto2"/>
        <w:rPr>
          <w:color w:val="FF0000"/>
        </w:rPr>
      </w:pPr>
      <w:r w:rsidRPr="00D022FF">
        <w:rPr>
          <w:color w:val="FF0000"/>
        </w:rPr>
        <w:t>(Ref: HCOB 1 Dec 78 PROGRAMMING THE</w:t>
      </w:r>
      <w:r w:rsidRPr="00D022FF">
        <w:rPr>
          <w:color w:val="FF0000"/>
        </w:rPr>
        <w:br/>
        <w:t>DIANETIC CLEAR</w:t>
      </w:r>
      <w:r w:rsidRPr="00D022FF">
        <w:rPr>
          <w:color w:val="FF0000"/>
        </w:rPr>
        <w:br/>
        <w:t>FOR HIS</w:t>
      </w:r>
      <w:r w:rsidRPr="00D022FF">
        <w:rPr>
          <w:color w:val="FF0000"/>
        </w:rPr>
        <w:t xml:space="preserve"> NEXT STEP</w:t>
      </w:r>
      <w:r w:rsidRPr="00D022FF">
        <w:rPr>
          <w:color w:val="FF0000"/>
        </w:rPr>
        <w:br/>
        <w:t>HCOB 8 Oct 70 C/S Series 20</w:t>
      </w:r>
      <w:r w:rsidRPr="00D022FF">
        <w:rPr>
          <w:color w:val="FF0000"/>
        </w:rPr>
        <w:br/>
        <w:t>PERSISTENT F/N</w:t>
      </w:r>
      <w:r w:rsidRPr="00D022FF">
        <w:rPr>
          <w:color w:val="FF0000"/>
        </w:rPr>
        <w:br/>
        <w:t>HCOB 19 Apr 72 C/S Series 77</w:t>
      </w:r>
      <w:r w:rsidRPr="00D022FF">
        <w:rPr>
          <w:color w:val="FF0000"/>
        </w:rPr>
        <w:br/>
        <w:t>“QUICKIE” DEFINED)</w:t>
      </w:r>
    </w:p>
    <w:p w:rsidR="00000000" w:rsidRPr="00D022FF" w:rsidRDefault="009948BE">
      <w:pPr>
        <w:autoSpaceDE w:val="0"/>
        <w:autoSpaceDN w:val="0"/>
        <w:adjustRightInd w:val="0"/>
        <w:jc w:val="center"/>
        <w:rPr>
          <w:color w:val="FF0000"/>
          <w:sz w:val="20"/>
          <w:szCs w:val="20"/>
          <w:lang w:val="en-GB"/>
        </w:rPr>
      </w:pP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>It has recently come to my attention that some auditors are delivering grades in outrageously short periods of time to Dianetic Clear pcs and only giving</w:t>
      </w:r>
      <w:r w:rsidRPr="00D022FF">
        <w:rPr>
          <w:color w:val="FF0000"/>
          <w:lang w:val="en-GB"/>
        </w:rPr>
        <w:t xml:space="preserve"> Quad Grades to the Dianetic Clear without making full use of the Expanded Grades. Such pcs are being denied the full gains of the grade processes due to Quickie Grades—out-tech.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>From this point forward, anyone auditing a pc who is Dianetic Clear or Natura</w:t>
      </w:r>
      <w:r w:rsidRPr="00D022FF">
        <w:rPr>
          <w:color w:val="FF0000"/>
          <w:lang w:val="en-GB"/>
        </w:rPr>
        <w:t>l Clear, on the grades, must: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 xml:space="preserve">1) M9 and </w:t>
      </w:r>
      <w:proofErr w:type="spellStart"/>
      <w:r w:rsidRPr="00D022FF">
        <w:rPr>
          <w:color w:val="FF0000"/>
          <w:lang w:val="en-GB"/>
        </w:rPr>
        <w:t>starrate</w:t>
      </w:r>
      <w:proofErr w:type="spellEnd"/>
      <w:r w:rsidRPr="00D022FF">
        <w:rPr>
          <w:color w:val="FF0000"/>
          <w:lang w:val="en-GB"/>
        </w:rPr>
        <w:t xml:space="preserve"> HCOB 8 Oct 70 C/S Series 20 PERSISTENT F/N,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 xml:space="preserve">2) M9 and </w:t>
      </w:r>
      <w:proofErr w:type="spellStart"/>
      <w:r w:rsidRPr="00D022FF">
        <w:rPr>
          <w:color w:val="FF0000"/>
          <w:lang w:val="en-GB"/>
        </w:rPr>
        <w:t>starrate</w:t>
      </w:r>
      <w:proofErr w:type="spellEnd"/>
      <w:r w:rsidRPr="00D022FF">
        <w:rPr>
          <w:color w:val="FF0000"/>
          <w:lang w:val="en-GB"/>
        </w:rPr>
        <w:t xml:space="preserve"> HCOB 19 Apr 72 C/S Series 77 “QUICKIE” DEFINED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>and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>3) Clay demo the consequences of Quickie Grades.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>It is the responsibility of the C/S to see t</w:t>
      </w:r>
      <w:r w:rsidRPr="00D022FF">
        <w:rPr>
          <w:color w:val="FF0000"/>
          <w:lang w:val="en-GB"/>
        </w:rPr>
        <w:t>hat the above checkouts occur without stopping or slowing delivery lines.</w:t>
      </w:r>
    </w:p>
    <w:p w:rsidR="00000000" w:rsidRPr="00D022FF" w:rsidRDefault="009948BE">
      <w:pPr>
        <w:autoSpaceDE w:val="0"/>
        <w:autoSpaceDN w:val="0"/>
        <w:adjustRightInd w:val="0"/>
        <w:rPr>
          <w:color w:val="FF0000"/>
          <w:lang w:val="en-GB"/>
        </w:rPr>
      </w:pPr>
      <w:r w:rsidRPr="00D022FF">
        <w:rPr>
          <w:color w:val="FF0000"/>
          <w:lang w:val="en-GB"/>
        </w:rPr>
        <w:t xml:space="preserve">These actions will ensure that the Dianetic Clear has the opportunity to attain </w:t>
      </w:r>
      <w:r w:rsidRPr="00D022FF">
        <w:rPr>
          <w:i/>
          <w:iCs/>
          <w:color w:val="FF0000"/>
          <w:lang w:val="en-GB"/>
        </w:rPr>
        <w:t xml:space="preserve">all </w:t>
      </w:r>
      <w:r w:rsidRPr="00D022FF">
        <w:rPr>
          <w:color w:val="FF0000"/>
          <w:lang w:val="en-GB"/>
        </w:rPr>
        <w:t>the benefits of the grades. In addition to the immediate abilities gained from the grades being pr</w:t>
      </w:r>
      <w:r w:rsidRPr="00D022FF">
        <w:rPr>
          <w:color w:val="FF0000"/>
          <w:lang w:val="en-GB"/>
        </w:rPr>
        <w:t>operly delivered, having his grades really IN will prevent the pre-OT from running into difficulties on the OT levels.</w:t>
      </w:r>
    </w:p>
    <w:p w:rsidR="00000000" w:rsidRPr="00D022FF" w:rsidRDefault="009948BE">
      <w:pPr>
        <w:autoSpaceDE w:val="0"/>
        <w:autoSpaceDN w:val="0"/>
        <w:adjustRightInd w:val="0"/>
        <w:rPr>
          <w:i/>
          <w:iCs/>
          <w:color w:val="FF0000"/>
          <w:lang w:val="en-GB"/>
        </w:rPr>
      </w:pPr>
      <w:r w:rsidRPr="00D022FF">
        <w:rPr>
          <w:color w:val="FF0000"/>
          <w:lang w:val="en-GB"/>
        </w:rPr>
        <w:t xml:space="preserve">The grades are a very essential part of the Grade Chart and must not be delivered over a persistent F/N or skimped on in any way. Let’s </w:t>
      </w:r>
      <w:r w:rsidRPr="00D022FF">
        <w:rPr>
          <w:i/>
          <w:iCs/>
          <w:color w:val="FF0000"/>
          <w:lang w:val="en-GB"/>
        </w:rPr>
        <w:t>K</w:t>
      </w:r>
      <w:r w:rsidRPr="00D022FF">
        <w:rPr>
          <w:i/>
          <w:iCs/>
          <w:color w:val="FF0000"/>
          <w:lang w:val="en-GB"/>
        </w:rPr>
        <w:t>eep Scientology Working!</w:t>
      </w:r>
    </w:p>
    <w:p w:rsidR="00000000" w:rsidRPr="00D022FF" w:rsidRDefault="009948BE">
      <w:pPr>
        <w:autoSpaceDE w:val="0"/>
        <w:autoSpaceDN w:val="0"/>
        <w:adjustRightInd w:val="0"/>
        <w:rPr>
          <w:i/>
          <w:iCs/>
          <w:color w:val="FF0000"/>
          <w:lang w:val="en-GB"/>
        </w:rPr>
      </w:pPr>
    </w:p>
    <w:p w:rsidR="00000000" w:rsidRPr="00D022FF" w:rsidRDefault="009948BE">
      <w:pPr>
        <w:jc w:val="right"/>
        <w:rPr>
          <w:color w:val="FF0000"/>
          <w:lang w:val="en-GB"/>
        </w:rPr>
      </w:pPr>
      <w:r w:rsidRPr="00D022FF">
        <w:rPr>
          <w:color w:val="FF0000"/>
          <w:lang w:val="en-GB"/>
        </w:rPr>
        <w:t>L. RON HUBBARD</w:t>
      </w:r>
      <w:r w:rsidRPr="00D022FF">
        <w:rPr>
          <w:color w:val="FF0000"/>
          <w:lang w:val="en-GB"/>
        </w:rPr>
        <w:br/>
        <w:t>Founder</w:t>
      </w:r>
    </w:p>
    <w:p w:rsidR="009948BE" w:rsidRPr="00D022FF" w:rsidRDefault="009948BE">
      <w:pPr>
        <w:pStyle w:val="Corpodetexto3"/>
        <w:jc w:val="left"/>
        <w:rPr>
          <w:color w:val="FF0000"/>
        </w:rPr>
      </w:pPr>
      <w:proofErr w:type="spellStart"/>
      <w:r w:rsidRPr="00D022FF">
        <w:rPr>
          <w:color w:val="FF0000"/>
        </w:rPr>
        <w:t>LRH:jk</w:t>
      </w:r>
      <w:proofErr w:type="spellEnd"/>
      <w:r w:rsidRPr="00D022FF">
        <w:rPr>
          <w:color w:val="FF0000"/>
        </w:rPr>
        <w:br/>
        <w:t>Copyright © 1979</w:t>
      </w:r>
      <w:r w:rsidRPr="00D022FF">
        <w:rPr>
          <w:color w:val="FF0000"/>
        </w:rPr>
        <w:br/>
        <w:t>by L. Ron Hubbard</w:t>
      </w:r>
      <w:r w:rsidRPr="00D022FF">
        <w:rPr>
          <w:color w:val="FF0000"/>
        </w:rPr>
        <w:br/>
        <w:t>ALL RIGHTS RESERVED</w:t>
      </w:r>
      <w:bookmarkEnd w:id="0"/>
    </w:p>
    <w:sectPr w:rsidR="009948BE" w:rsidRPr="00D02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FF"/>
    <w:rsid w:val="009948BE"/>
    <w:rsid w:val="00D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C480-BED2-4BA1-AF40-95283E4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D022FF"/>
    <w:pPr>
      <w:keepNext/>
      <w:spacing w:before="240" w:after="60"/>
      <w:jc w:val="center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lang w:val="en-GB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center"/>
    </w:pPr>
    <w:rPr>
      <w:lang w:val="en-GB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sz w:val="20"/>
      <w:szCs w:val="20"/>
      <w:lang w:val="en-GB"/>
    </w:rPr>
  </w:style>
  <w:style w:type="paragraph" w:styleId="Corpodetexto3">
    <w:name w:val="Body Text 3"/>
    <w:basedOn w:val="Normal"/>
    <w:semiHidden/>
    <w:pPr>
      <w:autoSpaceDE w:val="0"/>
      <w:autoSpaceDN w:val="0"/>
      <w:adjustRightInd w:val="0"/>
    </w:pPr>
    <w:rPr>
      <w:sz w:val="18"/>
      <w:lang w:val="en-GB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D022FF"/>
    <w:rPr>
      <w:rFonts w:asciiTheme="majorHAnsi" w:eastAsiaTheme="majorEastAsia" w:hAnsiTheme="majorHAnsi" w:cstheme="majorBidi"/>
      <w:b/>
      <w:bCs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CAL</cp:lastModifiedBy>
  <cp:revision>2</cp:revision>
  <dcterms:created xsi:type="dcterms:W3CDTF">2018-06-17T16:08:00Z</dcterms:created>
  <dcterms:modified xsi:type="dcterms:W3CDTF">2018-06-17T16:08:00Z</dcterms:modified>
</cp:coreProperties>
</file>