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5FD" w:rsidRPr="00F47080" w:rsidRDefault="00D065FD" w:rsidP="00E154C7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Cs w:val="24"/>
          <w:lang w:val="en-GB"/>
        </w:rPr>
      </w:pPr>
      <w:bookmarkStart w:id="0" w:name="_GoBack"/>
      <w:r w:rsidRPr="00F47080">
        <w:rPr>
          <w:rFonts w:ascii="Times New Roman" w:hAnsi="Times New Roman"/>
          <w:color w:val="FF0000"/>
          <w:szCs w:val="24"/>
          <w:lang w:val="en-GB"/>
        </w:rPr>
        <w:t>HUBBARD COMMUNICATIONS OFFICE</w:t>
      </w:r>
    </w:p>
    <w:p w:rsidR="00D065FD" w:rsidRPr="00F47080" w:rsidRDefault="00D065FD" w:rsidP="00E154C7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Cs w:val="24"/>
          <w:lang w:val="en-GB"/>
        </w:rPr>
      </w:pPr>
      <w:r w:rsidRPr="00F47080">
        <w:rPr>
          <w:rFonts w:ascii="Times New Roman" w:hAnsi="Times New Roman"/>
          <w:color w:val="FF0000"/>
          <w:szCs w:val="24"/>
          <w:lang w:val="en-GB"/>
        </w:rPr>
        <w:t>Saint Hill Manor, East Grinstead, Sussex</w:t>
      </w:r>
    </w:p>
    <w:p w:rsidR="00D065FD" w:rsidRPr="00F47080" w:rsidRDefault="00D065FD" w:rsidP="00E154C7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Cs w:val="24"/>
          <w:lang w:val="en-GB"/>
        </w:rPr>
      </w:pPr>
      <w:r w:rsidRPr="00F47080">
        <w:rPr>
          <w:rFonts w:ascii="Times New Roman" w:hAnsi="Times New Roman"/>
          <w:color w:val="FF0000"/>
          <w:szCs w:val="24"/>
          <w:lang w:val="en-GB"/>
        </w:rPr>
        <w:t>HCO BULLETIN OF 25 OCTOBER 1971</w:t>
      </w:r>
    </w:p>
    <w:p w:rsidR="00D065FD" w:rsidRPr="00F47080" w:rsidRDefault="00D065FD" w:rsidP="00D065FD">
      <w:pPr>
        <w:autoSpaceDE w:val="0"/>
        <w:autoSpaceDN w:val="0"/>
        <w:adjustRightInd w:val="0"/>
        <w:rPr>
          <w:rFonts w:ascii="Times New Roman" w:hAnsi="Times New Roman"/>
          <w:color w:val="FF0000"/>
          <w:sz w:val="20"/>
          <w:lang w:val="en-GB"/>
        </w:rPr>
      </w:pPr>
      <w:r w:rsidRPr="00F47080">
        <w:rPr>
          <w:rFonts w:ascii="Times New Roman" w:hAnsi="Times New Roman"/>
          <w:color w:val="FF0000"/>
          <w:sz w:val="20"/>
          <w:lang w:val="en-GB"/>
        </w:rPr>
        <w:t>Remimeo</w:t>
      </w:r>
    </w:p>
    <w:p w:rsidR="00E154C7" w:rsidRPr="00F47080" w:rsidRDefault="00E154C7" w:rsidP="00D065FD">
      <w:pPr>
        <w:autoSpaceDE w:val="0"/>
        <w:autoSpaceDN w:val="0"/>
        <w:adjustRightInd w:val="0"/>
        <w:rPr>
          <w:rFonts w:ascii="Times New Roman" w:hAnsi="Times New Roman"/>
          <w:color w:val="FF0000"/>
          <w:sz w:val="20"/>
          <w:lang w:val="en-GB"/>
        </w:rPr>
      </w:pPr>
    </w:p>
    <w:p w:rsidR="00D065FD" w:rsidRPr="00F47080" w:rsidRDefault="00D065FD" w:rsidP="00E154C7">
      <w:pPr>
        <w:pStyle w:val="Ttulo2"/>
        <w:rPr>
          <w:color w:val="FF0000"/>
          <w:lang w:val="en-GB"/>
        </w:rPr>
      </w:pPr>
      <w:r w:rsidRPr="00F47080">
        <w:rPr>
          <w:color w:val="FF0000"/>
          <w:szCs w:val="24"/>
          <w:lang w:val="en-GB"/>
        </w:rPr>
        <w:t>DRUG DRYING OUT</w:t>
      </w:r>
    </w:p>
    <w:p w:rsidR="00E154C7" w:rsidRPr="00F47080" w:rsidRDefault="00E154C7" w:rsidP="00E154C7">
      <w:pPr>
        <w:rPr>
          <w:color w:val="FF0000"/>
          <w:lang w:val="en-GB" w:eastAsia="es-ES"/>
        </w:rPr>
      </w:pP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It occasionally happens that someone is still on drugs when he or she requires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drug processing.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This sets up a very rough problem</w:t>
      </w:r>
      <w:r w:rsidR="00E154C7" w:rsidRPr="00F47080">
        <w:rPr>
          <w:color w:val="FF0000"/>
          <w:lang w:val="en-GB"/>
        </w:rPr>
        <w:t xml:space="preserve">: </w:t>
      </w:r>
      <w:r w:rsidRPr="00F47080">
        <w:rPr>
          <w:color w:val="FF0000"/>
          <w:lang w:val="en-GB"/>
        </w:rPr>
        <w:t>DRUGS PREVENT ANY CASE GAIN.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If the person is still on drugs, processing will have little effect. He will not cease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to be a drug addict. The drugs trap him.</w:t>
      </w:r>
    </w:p>
    <w:p w:rsidR="00E154C7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When the world went druggie (about 1960), this problem of drying out became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one of the first order. It was not just a problem to us. All pre-Scientology efforts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failed—and had been failing for all Man’s history. But relatively small numbers had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been involved. After 1960 the problem became planet-wide.</w:t>
      </w:r>
      <w:r w:rsidR="00E154C7" w:rsidRPr="00F47080">
        <w:rPr>
          <w:color w:val="FF0000"/>
          <w:lang w:val="en-GB"/>
        </w:rPr>
        <w:t xml:space="preserve"> 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Our first organization to handle this was Los Angeles. They made the person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 xml:space="preserve">cease to take drugs for 6 weeks, </w:t>
      </w:r>
      <w:r w:rsidR="00E154C7" w:rsidRPr="00F47080">
        <w:rPr>
          <w:color w:val="FF0000"/>
          <w:lang w:val="en-GB"/>
        </w:rPr>
        <w:t>and then</w:t>
      </w:r>
      <w:r w:rsidRPr="00F47080">
        <w:rPr>
          <w:color w:val="FF0000"/>
          <w:lang w:val="en-GB"/>
        </w:rPr>
        <w:t xml:space="preserve"> audited the drugs out. Most of these cases stayed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stable and thereafter had case gain and were no longer condemned to an eternity of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disability.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However, some were unable to stop taking drugs.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What is called WITHDRAWAL SYMPTOMS set in. These are the body and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mental reactions to no longer taking drugs. They are ghastly. No torturer ever set up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anything worse.</w:t>
      </w:r>
    </w:p>
    <w:p w:rsidR="00D065FD" w:rsidRPr="00F47080" w:rsidRDefault="00D065FD" w:rsidP="00E154C7">
      <w:pPr>
        <w:pStyle w:val="Corpodetexto"/>
        <w:rPr>
          <w:color w:val="FF0000"/>
          <w:lang w:val="en-GB"/>
        </w:rPr>
      </w:pPr>
      <w:r w:rsidRPr="00F47080">
        <w:rPr>
          <w:color w:val="FF0000"/>
          <w:lang w:val="en-GB"/>
        </w:rPr>
        <w:t>The patient had this problem then:</w:t>
      </w:r>
    </w:p>
    <w:p w:rsidR="00D065FD" w:rsidRPr="00F47080" w:rsidRDefault="00D065FD" w:rsidP="00E154C7">
      <w:pPr>
        <w:pStyle w:val="Lista"/>
        <w:ind w:left="566"/>
        <w:rPr>
          <w:color w:val="FF0000"/>
          <w:lang w:val="en-GB"/>
        </w:rPr>
      </w:pPr>
      <w:r w:rsidRPr="00F47080">
        <w:rPr>
          <w:color w:val="FF0000"/>
          <w:lang w:val="en-GB"/>
        </w:rPr>
        <w:t>A.</w:t>
      </w:r>
      <w:r w:rsidR="00E154C7" w:rsidRPr="00F47080">
        <w:rPr>
          <w:color w:val="FF0000"/>
          <w:lang w:val="en-GB"/>
        </w:rPr>
        <w:tab/>
      </w:r>
      <w:r w:rsidRPr="00F47080">
        <w:rPr>
          <w:color w:val="FF0000"/>
          <w:lang w:val="en-GB"/>
        </w:rPr>
        <w:t>Stay on drugs and be trapped and suffering from here on out.</w:t>
      </w:r>
    </w:p>
    <w:p w:rsidR="00D065FD" w:rsidRPr="00F47080" w:rsidRDefault="00D065FD" w:rsidP="00E154C7">
      <w:pPr>
        <w:pStyle w:val="Lista"/>
        <w:ind w:left="566"/>
        <w:rPr>
          <w:color w:val="FF0000"/>
          <w:lang w:val="en-GB"/>
        </w:rPr>
      </w:pPr>
      <w:r w:rsidRPr="00F47080">
        <w:rPr>
          <w:color w:val="FF0000"/>
          <w:lang w:val="en-GB"/>
        </w:rPr>
        <w:t>B.</w:t>
      </w:r>
      <w:r w:rsidR="00E154C7" w:rsidRPr="00F47080">
        <w:rPr>
          <w:color w:val="FF0000"/>
          <w:lang w:val="en-GB"/>
        </w:rPr>
        <w:tab/>
      </w:r>
      <w:r w:rsidRPr="00F47080">
        <w:rPr>
          <w:color w:val="FF0000"/>
          <w:lang w:val="en-GB"/>
        </w:rPr>
        <w:t>Try to come off the drugs and be so agonizingly ill meanwhile that he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couldn’t stand it.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This was a dead if you do, dead if you don’t sort of problem.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Medicine did not solve it adequately. Psychotherapy was impossible.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Two approaches now exist to this withdrawal problem.</w:t>
      </w:r>
    </w:p>
    <w:p w:rsidR="00D065FD" w:rsidRPr="00F47080" w:rsidRDefault="00D065FD" w:rsidP="00E154C7">
      <w:pPr>
        <w:pStyle w:val="Lista"/>
        <w:ind w:left="566"/>
        <w:rPr>
          <w:color w:val="FF0000"/>
          <w:lang w:val="en-GB"/>
        </w:rPr>
      </w:pPr>
      <w:r w:rsidRPr="00F47080">
        <w:rPr>
          <w:color w:val="FF0000"/>
          <w:lang w:val="en-GB"/>
        </w:rPr>
        <w:t>1.</w:t>
      </w:r>
      <w:r w:rsidR="00E154C7" w:rsidRPr="00F47080">
        <w:rPr>
          <w:color w:val="FF0000"/>
          <w:lang w:val="en-GB"/>
        </w:rPr>
        <w:tab/>
      </w:r>
      <w:r w:rsidRPr="00F47080">
        <w:rPr>
          <w:color w:val="FF0000"/>
          <w:lang w:val="en-GB"/>
        </w:rPr>
        <w:t>Light objective (look outward, take attention off body) processes ease the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gradual withdrawal and make it possible.</w:t>
      </w:r>
    </w:p>
    <w:p w:rsidR="00D065FD" w:rsidRPr="00F47080" w:rsidRDefault="00D065FD" w:rsidP="00E154C7">
      <w:pPr>
        <w:pStyle w:val="Lista"/>
        <w:ind w:left="566"/>
        <w:rPr>
          <w:color w:val="FF0000"/>
          <w:lang w:val="en-GB"/>
        </w:rPr>
      </w:pPr>
      <w:r w:rsidRPr="00F47080">
        <w:rPr>
          <w:color w:val="FF0000"/>
          <w:lang w:val="en-GB"/>
        </w:rPr>
        <w:t>2.</w:t>
      </w:r>
      <w:r w:rsidR="00E154C7" w:rsidRPr="00F47080">
        <w:rPr>
          <w:color w:val="FF0000"/>
          <w:lang w:val="en-GB"/>
        </w:rPr>
        <w:tab/>
      </w:r>
      <w:r w:rsidRPr="00F47080">
        <w:rPr>
          <w:color w:val="FF0000"/>
          <w:lang w:val="en-GB"/>
        </w:rPr>
        <w:t>Nutritionist experiments indicate that vitamins assist the withdrawal.</w:t>
      </w:r>
    </w:p>
    <w:p w:rsidR="00D065FD" w:rsidRPr="00F47080" w:rsidRDefault="00D065FD" w:rsidP="00E154C7">
      <w:pPr>
        <w:pStyle w:val="Corpodetexto"/>
        <w:rPr>
          <w:color w:val="FF0000"/>
          <w:lang w:val="en-GB"/>
        </w:rPr>
      </w:pPr>
      <w:r w:rsidRPr="00F47080">
        <w:rPr>
          <w:color w:val="FF0000"/>
          <w:lang w:val="en-GB"/>
        </w:rPr>
        <w:t>Objective processes are covered elsewhere in this material.</w:t>
      </w:r>
    </w:p>
    <w:p w:rsidR="00D065FD" w:rsidRPr="00F47080" w:rsidRDefault="00D065FD" w:rsidP="00E154C7">
      <w:pPr>
        <w:pStyle w:val="Ttulo3"/>
        <w:rPr>
          <w:color w:val="FF0000"/>
          <w:lang w:val="en-GB"/>
        </w:rPr>
      </w:pPr>
      <w:r w:rsidRPr="00F47080">
        <w:rPr>
          <w:color w:val="FF0000"/>
          <w:lang w:val="en-GB"/>
        </w:rPr>
        <w:t>VITAMIN THERAPY</w:t>
      </w:r>
    </w:p>
    <w:p w:rsidR="00D065FD" w:rsidRPr="00F47080" w:rsidRDefault="00D065FD" w:rsidP="00E154C7">
      <w:pPr>
        <w:pStyle w:val="Corpodetexto"/>
        <w:rPr>
          <w:color w:val="FF0000"/>
          <w:lang w:val="en-GB"/>
        </w:rPr>
      </w:pPr>
      <w:r w:rsidRPr="00F47080">
        <w:rPr>
          <w:color w:val="FF0000"/>
          <w:lang w:val="en-GB"/>
        </w:rPr>
        <w:t>According to world-renowned nutritionist Adelle Davis, vitamin therapy has had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success in handling Withdrawal Symptoms.</w:t>
      </w:r>
    </w:p>
    <w:p w:rsidR="00D065FD" w:rsidRPr="00F47080" w:rsidRDefault="00D065FD" w:rsidP="00E154C7">
      <w:pPr>
        <w:pStyle w:val="Corpodetexto"/>
        <w:rPr>
          <w:color w:val="FF0000"/>
          <w:lang w:val="en-GB"/>
        </w:rPr>
      </w:pPr>
      <w:r w:rsidRPr="00F47080">
        <w:rPr>
          <w:color w:val="FF0000"/>
          <w:lang w:val="en-GB"/>
        </w:rPr>
        <w:t>Instead of just telling the person to break off drugs with all that suffering and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danger of failure, the patient is given heavy doses of vitamins. The data is repeated here</w:t>
      </w:r>
      <w:r w:rsidR="00E154C7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for information.</w:t>
      </w:r>
    </w:p>
    <w:p w:rsidR="00D065FD" w:rsidRPr="00F47080" w:rsidRDefault="00D065FD" w:rsidP="00BB5D5A">
      <w:pPr>
        <w:pStyle w:val="Ttulo3"/>
        <w:rPr>
          <w:color w:val="FF0000"/>
          <w:lang w:val="en-GB"/>
        </w:rPr>
      </w:pPr>
      <w:r w:rsidRPr="00F47080">
        <w:rPr>
          <w:color w:val="FF0000"/>
          <w:lang w:val="en-GB"/>
        </w:rPr>
        <w:lastRenderedPageBreak/>
        <w:t>DRUG BOMB</w:t>
      </w:r>
    </w:p>
    <w:p w:rsidR="00D065FD" w:rsidRPr="00F47080" w:rsidRDefault="00D065FD" w:rsidP="00E154C7">
      <w:pPr>
        <w:rPr>
          <w:b/>
          <w:color w:val="FF0000"/>
          <w:lang w:val="en-GB"/>
        </w:rPr>
      </w:pPr>
      <w:r w:rsidRPr="00F47080">
        <w:rPr>
          <w:b/>
          <w:color w:val="FF0000"/>
          <w:lang w:val="en-GB"/>
        </w:rPr>
        <w:t>ONE DOSE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 xml:space="preserve">1,000 mg of niacin amide </w:t>
      </w:r>
      <w:r w:rsidRPr="00F47080">
        <w:rPr>
          <w:i/>
          <w:iCs/>
          <w:color w:val="FF0000"/>
          <w:lang w:val="en-GB"/>
        </w:rPr>
        <w:t xml:space="preserve">(not </w:t>
      </w:r>
      <w:r w:rsidRPr="00F47080">
        <w:rPr>
          <w:color w:val="FF0000"/>
          <w:lang w:val="en-GB"/>
        </w:rPr>
        <w:t>nicotinic acid as it is severely toxic in such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amounts). This for any mental disturbance.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 xml:space="preserve">500 </w:t>
      </w:r>
      <w:r w:rsidR="00BB5D5A" w:rsidRPr="00F47080">
        <w:rPr>
          <w:color w:val="FF0000"/>
          <w:lang w:val="en-GB"/>
        </w:rPr>
        <w:t>Milligrams</w:t>
      </w:r>
      <w:r w:rsidRPr="00F47080">
        <w:rPr>
          <w:color w:val="FF0000"/>
          <w:lang w:val="en-GB"/>
        </w:rPr>
        <w:t xml:space="preserve"> of magnesium carbonate (to make the Vitamin C effective).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 xml:space="preserve">2,000 </w:t>
      </w:r>
      <w:r w:rsidR="00BB5D5A" w:rsidRPr="00F47080">
        <w:rPr>
          <w:color w:val="FF0000"/>
          <w:lang w:val="en-GB"/>
        </w:rPr>
        <w:t>Milligrams</w:t>
      </w:r>
      <w:r w:rsidRPr="00F47080">
        <w:rPr>
          <w:color w:val="FF0000"/>
          <w:lang w:val="en-GB"/>
        </w:rPr>
        <w:t xml:space="preserve"> of Vitamin C.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 xml:space="preserve">25 </w:t>
      </w:r>
      <w:r w:rsidR="00BB5D5A" w:rsidRPr="00F47080">
        <w:rPr>
          <w:color w:val="FF0000"/>
          <w:lang w:val="en-GB"/>
        </w:rPr>
        <w:t>Milligrams</w:t>
      </w:r>
      <w:r w:rsidRPr="00F47080">
        <w:rPr>
          <w:color w:val="FF0000"/>
          <w:lang w:val="en-GB"/>
        </w:rPr>
        <w:t xml:space="preserve"> of B6.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 xml:space="preserve">200 </w:t>
      </w:r>
      <w:r w:rsidR="00BB5D5A" w:rsidRPr="00F47080">
        <w:rPr>
          <w:color w:val="FF0000"/>
          <w:lang w:val="en-GB"/>
        </w:rPr>
        <w:t>Milligrams</w:t>
      </w:r>
      <w:r w:rsidRPr="00F47080">
        <w:rPr>
          <w:color w:val="FF0000"/>
          <w:lang w:val="en-GB"/>
        </w:rPr>
        <w:t xml:space="preserve"> of B Complex.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 xml:space="preserve">100 </w:t>
      </w:r>
      <w:r w:rsidR="00BB5D5A" w:rsidRPr="00F47080">
        <w:rPr>
          <w:color w:val="FF0000"/>
          <w:lang w:val="en-GB"/>
        </w:rPr>
        <w:t>Milligrams</w:t>
      </w:r>
      <w:r w:rsidRPr="00F47080">
        <w:rPr>
          <w:color w:val="FF0000"/>
          <w:lang w:val="en-GB"/>
        </w:rPr>
        <w:t xml:space="preserve"> of pantothenic acid.</w:t>
      </w:r>
    </w:p>
    <w:p w:rsidR="00D065FD" w:rsidRPr="00F47080" w:rsidRDefault="00D065FD" w:rsidP="00BB5D5A">
      <w:pPr>
        <w:pStyle w:val="Ttulo3"/>
        <w:rPr>
          <w:color w:val="FF0000"/>
          <w:lang w:val="en-GB"/>
        </w:rPr>
      </w:pPr>
      <w:r w:rsidRPr="00F47080">
        <w:rPr>
          <w:color w:val="FF0000"/>
          <w:lang w:val="en-GB"/>
        </w:rPr>
        <w:t>ADMINISTRATION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The bomb is given four times a day, roughly every six hours.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It is given in a mild preparation that furnishes intestinal flora such as yoghurt.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b/>
          <w:color w:val="FF0000"/>
          <w:lang w:val="en-GB"/>
        </w:rPr>
        <w:t>GREAT CAUTION</w:t>
      </w:r>
      <w:r w:rsidRPr="00F47080">
        <w:rPr>
          <w:color w:val="FF0000"/>
          <w:lang w:val="en-GB"/>
        </w:rPr>
        <w:t xml:space="preserve"> must be used to give the dose in such a way that the vitamins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will not corrode the stomach. If this is neglected the patient can be given a false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duodenal (upper intestine) ulcer and will be unable to continue the treatment. Druggies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are usually in terrible physical condition anyway. Thus all the above would have to be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in “enteric coated” capsules, meaning an intestinal shielding must be on the pills so they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gradually dissolve and don’t hit the sensitive upper stomach hard enough to corrode it.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Thus milk with powdered amino acids in it would have to be given to wash the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pills down.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In testing these recommendations stomach corrosion from the bomb was the main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barrier noted.</w:t>
      </w:r>
    </w:p>
    <w:p w:rsidR="00BB5D5A" w:rsidRPr="00F47080" w:rsidRDefault="00D065FD" w:rsidP="00BB5D5A">
      <w:pPr>
        <w:jc w:val="left"/>
        <w:rPr>
          <w:color w:val="FF0000"/>
          <w:lang w:val="en-GB"/>
        </w:rPr>
      </w:pPr>
      <w:r w:rsidRPr="00F47080">
        <w:rPr>
          <w:color w:val="FF0000"/>
          <w:lang w:val="en-GB"/>
        </w:rPr>
        <w:t xml:space="preserve">If the bomb is given without any cushion the patient can </w:t>
      </w:r>
      <w:r w:rsidR="00BB5D5A" w:rsidRPr="00F47080">
        <w:rPr>
          <w:color w:val="FF0000"/>
          <w:lang w:val="en-GB"/>
        </w:rPr>
        <w:br/>
        <w:t xml:space="preserve"> </w:t>
      </w:r>
      <w:r w:rsidR="00BB5D5A" w:rsidRPr="00F47080">
        <w:rPr>
          <w:color w:val="FF0000"/>
          <w:lang w:val="en-GB"/>
        </w:rPr>
        <w:tab/>
      </w:r>
      <w:r w:rsidRPr="00F47080">
        <w:rPr>
          <w:color w:val="FF0000"/>
          <w:lang w:val="en-GB"/>
        </w:rPr>
        <w:t>(a) feel too full after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 xml:space="preserve">eating </w:t>
      </w:r>
      <w:r w:rsidR="00BB5D5A" w:rsidRPr="00F47080">
        <w:rPr>
          <w:color w:val="FF0000"/>
          <w:lang w:val="en-GB"/>
        </w:rPr>
        <w:br/>
        <w:t xml:space="preserve"> </w:t>
      </w:r>
      <w:r w:rsidR="00BB5D5A" w:rsidRPr="00F47080">
        <w:rPr>
          <w:color w:val="FF0000"/>
          <w:lang w:val="en-GB"/>
        </w:rPr>
        <w:tab/>
      </w:r>
      <w:r w:rsidRPr="00F47080">
        <w:rPr>
          <w:color w:val="FF0000"/>
          <w:lang w:val="en-GB"/>
        </w:rPr>
        <w:t xml:space="preserve">(b) have a stomach ache </w:t>
      </w:r>
      <w:r w:rsidR="00BB5D5A" w:rsidRPr="00F47080">
        <w:rPr>
          <w:color w:val="FF0000"/>
          <w:lang w:val="en-GB"/>
        </w:rPr>
        <w:br/>
        <w:t xml:space="preserve"> </w:t>
      </w:r>
      <w:r w:rsidR="00BB5D5A" w:rsidRPr="00F47080">
        <w:rPr>
          <w:color w:val="FF0000"/>
          <w:lang w:val="en-GB"/>
        </w:rPr>
        <w:tab/>
      </w:r>
      <w:r w:rsidRPr="00F47080">
        <w:rPr>
          <w:color w:val="FF0000"/>
          <w:lang w:val="en-GB"/>
        </w:rPr>
        <w:t xml:space="preserve">(c) have a burning sensation </w:t>
      </w:r>
      <w:r w:rsidR="00BB5D5A" w:rsidRPr="00F47080">
        <w:rPr>
          <w:color w:val="FF0000"/>
          <w:lang w:val="en-GB"/>
        </w:rPr>
        <w:br/>
        <w:t xml:space="preserve"> </w:t>
      </w:r>
      <w:r w:rsidR="00BB5D5A" w:rsidRPr="00F47080">
        <w:rPr>
          <w:color w:val="FF0000"/>
          <w:lang w:val="en-GB"/>
        </w:rPr>
        <w:tab/>
      </w:r>
      <w:r w:rsidRPr="00F47080">
        <w:rPr>
          <w:color w:val="FF0000"/>
          <w:lang w:val="en-GB"/>
        </w:rPr>
        <w:t>(d) the exterior of the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 xml:space="preserve">stomach can get sore. </w:t>
      </w:r>
    </w:p>
    <w:p w:rsidR="00D065FD" w:rsidRPr="00F47080" w:rsidRDefault="00D065FD" w:rsidP="00BB5D5A">
      <w:pPr>
        <w:jc w:val="left"/>
        <w:rPr>
          <w:color w:val="FF0000"/>
          <w:lang w:val="en-GB"/>
        </w:rPr>
      </w:pPr>
      <w:r w:rsidRPr="00F47080">
        <w:rPr>
          <w:color w:val="FF0000"/>
          <w:lang w:val="en-GB"/>
        </w:rPr>
        <w:t>These are all stomach ulcer symptoms.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 xml:space="preserve">If such symptoms turn on, end </w:t>
      </w:r>
      <w:proofErr w:type="spellStart"/>
      <w:r w:rsidRPr="00F47080">
        <w:rPr>
          <w:color w:val="FF0000"/>
          <w:lang w:val="en-GB"/>
        </w:rPr>
        <w:t>off</w:t>
      </w:r>
      <w:proofErr w:type="spellEnd"/>
      <w:r w:rsidRPr="00F47080">
        <w:rPr>
          <w:color w:val="FF0000"/>
          <w:lang w:val="en-GB"/>
        </w:rPr>
        <w:t xml:space="preserve"> the vitamins. </w:t>
      </w:r>
      <w:proofErr w:type="spellStart"/>
      <w:r w:rsidRPr="00F47080">
        <w:rPr>
          <w:color w:val="FF0000"/>
          <w:lang w:val="en-GB"/>
        </w:rPr>
        <w:t>Aluminum</w:t>
      </w:r>
      <w:proofErr w:type="spellEnd"/>
      <w:r w:rsidRPr="00F47080">
        <w:rPr>
          <w:color w:val="FF0000"/>
          <w:lang w:val="en-GB"/>
        </w:rPr>
        <w:t xml:space="preserve"> hydroxide tablets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chewed up and swallowed in milk each time the symptoms start will ease the stomach.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Amino acids, intestinal flora and milk must then be given until the stomach gets better.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Shots, with a needle, especially of Vitamin C can be too painful. Not the needle,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that’s nothing; but the vitamin itself.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Such medication is in a crude state of research, mainly because of the violent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hostility earlier exerted against vitamin people by the American Medical Association and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other reactionaries to anything beneficial or new.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It is hoped that the stomach corrosion factor can be lessened by new preparations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which do the same thing but less violently.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I am not particularly advocating the use of the Drug Bomb but as a pioneer in this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area of research I feel that any data of value on the subject of drug withdrawal should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be widely published.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The difficulties and agonies of withdrawal are the primary failure point in trying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to salvage a being from the insanity of drugs.</w:t>
      </w:r>
    </w:p>
    <w:p w:rsidR="00D065FD" w:rsidRPr="00F47080" w:rsidRDefault="00D065FD" w:rsidP="00BB5D5A">
      <w:pPr>
        <w:pStyle w:val="Ttulo3"/>
        <w:rPr>
          <w:color w:val="FF0000"/>
          <w:lang w:val="en-GB"/>
        </w:rPr>
      </w:pPr>
      <w:r w:rsidRPr="00F47080">
        <w:rPr>
          <w:color w:val="FF0000"/>
          <w:lang w:val="en-GB"/>
        </w:rPr>
        <w:t>SUMMARY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People who have been on drugs do not make case gain until the drugs are handled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in processing.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Processing such as Dianetics is not effective when done on a person who is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taking drugs.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Withdrawal from drugs sometimes sets up a violent physical reaction too painful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or depressing to be continued and the person goes back on drugs.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Anyone on drugs or who has taken drugs is doomed as a being just like that. He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or she will cave right on in and finish up in the ash can from here on out.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i/>
          <w:iCs/>
          <w:color w:val="FF0000"/>
          <w:lang w:val="en-GB"/>
        </w:rPr>
        <w:t xml:space="preserve">Only </w:t>
      </w:r>
      <w:r w:rsidRPr="00F47080">
        <w:rPr>
          <w:color w:val="FF0000"/>
          <w:lang w:val="en-GB"/>
        </w:rPr>
        <w:t>processing by Dianetics and Scientology can handle the effects of drugs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fully. No other technology, medical or biochemical, has ever helped—we have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thousands of cases to prove this completely.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The primary barrier to processing is getting the person off drugs and keeping him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off until he can be fully audited. Then he will be very okay.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Two means to do this are known—A. Light objective processes while “drying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out” and B. Nutritional therapy.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A and B can be combined.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Neither A nor B will fully handle drugs. The person on vitamins if not processed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will relapse.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Vitamins are not drugs. They are nutrition. A person can be processed while on</w:t>
      </w:r>
      <w:r w:rsidR="00BB5D5A" w:rsidRPr="00F47080">
        <w:rPr>
          <w:color w:val="FF0000"/>
          <w:lang w:val="en-GB"/>
        </w:rPr>
        <w:t xml:space="preserve"> </w:t>
      </w:r>
      <w:r w:rsidRPr="00F47080">
        <w:rPr>
          <w:color w:val="FF0000"/>
          <w:lang w:val="en-GB"/>
        </w:rPr>
        <w:t>them.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By close application of these principles the person can be salvaged.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And having been salvaged can go on up to greater freedom and ability.</w:t>
      </w:r>
    </w:p>
    <w:p w:rsidR="00D065FD" w:rsidRPr="00F47080" w:rsidRDefault="00D065FD" w:rsidP="00E154C7">
      <w:pPr>
        <w:rPr>
          <w:color w:val="FF0000"/>
          <w:lang w:val="en-GB"/>
        </w:rPr>
      </w:pPr>
      <w:r w:rsidRPr="00F47080">
        <w:rPr>
          <w:color w:val="FF0000"/>
          <w:lang w:val="en-GB"/>
        </w:rPr>
        <w:t>He won’t make it otherwise by any other known technology.</w:t>
      </w:r>
    </w:p>
    <w:p w:rsidR="00BB5D5A" w:rsidRPr="00F47080" w:rsidRDefault="00BB5D5A" w:rsidP="00E154C7">
      <w:pPr>
        <w:rPr>
          <w:color w:val="FF0000"/>
          <w:lang w:val="en-GB"/>
        </w:rPr>
      </w:pPr>
    </w:p>
    <w:p w:rsidR="00D065FD" w:rsidRPr="00F47080" w:rsidRDefault="00D065FD" w:rsidP="00BB5D5A">
      <w:pPr>
        <w:ind w:left="6663"/>
        <w:rPr>
          <w:color w:val="FF0000"/>
          <w:lang w:val="en-GB"/>
        </w:rPr>
      </w:pPr>
      <w:r w:rsidRPr="00F47080">
        <w:rPr>
          <w:color w:val="FF0000"/>
          <w:lang w:val="en-GB"/>
        </w:rPr>
        <w:t>L. RON HUBBARD</w:t>
      </w:r>
    </w:p>
    <w:p w:rsidR="00D065FD" w:rsidRPr="00F47080" w:rsidRDefault="00D065FD" w:rsidP="00BB5D5A">
      <w:pPr>
        <w:ind w:left="6663"/>
        <w:rPr>
          <w:color w:val="FF0000"/>
          <w:lang w:val="en-GB"/>
        </w:rPr>
      </w:pPr>
      <w:r w:rsidRPr="00F47080">
        <w:rPr>
          <w:color w:val="FF0000"/>
          <w:lang w:val="en-GB"/>
        </w:rPr>
        <w:t>Founder</w:t>
      </w:r>
    </w:p>
    <w:p w:rsidR="00D065FD" w:rsidRPr="00F47080" w:rsidRDefault="00D065FD" w:rsidP="00BB5D5A">
      <w:pPr>
        <w:jc w:val="left"/>
        <w:rPr>
          <w:color w:val="FF0000"/>
          <w:lang w:val="en-GB"/>
        </w:rPr>
      </w:pPr>
      <w:proofErr w:type="spellStart"/>
      <w:r w:rsidRPr="00F47080">
        <w:rPr>
          <w:color w:val="FF0000"/>
          <w:lang w:val="en-GB"/>
        </w:rPr>
        <w:t>LRH:nt.rd</w:t>
      </w:r>
      <w:proofErr w:type="spellEnd"/>
      <w:r w:rsidR="00BB5D5A" w:rsidRPr="00F47080">
        <w:rPr>
          <w:color w:val="FF0000"/>
          <w:lang w:val="en-GB"/>
        </w:rPr>
        <w:br/>
      </w:r>
      <w:r w:rsidRPr="00F47080">
        <w:rPr>
          <w:color w:val="FF0000"/>
          <w:lang w:val="en-GB"/>
        </w:rPr>
        <w:t>Copyright © 1971</w:t>
      </w:r>
      <w:r w:rsidR="00BB5D5A" w:rsidRPr="00F47080">
        <w:rPr>
          <w:color w:val="FF0000"/>
          <w:lang w:val="en-GB"/>
        </w:rPr>
        <w:br/>
      </w:r>
      <w:r w:rsidRPr="00F47080">
        <w:rPr>
          <w:color w:val="FF0000"/>
          <w:lang w:val="en-GB"/>
        </w:rPr>
        <w:t>by L. Ron Hubbard</w:t>
      </w:r>
      <w:r w:rsidR="00BB5D5A" w:rsidRPr="00F47080">
        <w:rPr>
          <w:color w:val="FF0000"/>
          <w:lang w:val="en-GB"/>
        </w:rPr>
        <w:br/>
      </w:r>
      <w:r w:rsidRPr="00F47080">
        <w:rPr>
          <w:color w:val="FF0000"/>
          <w:lang w:val="en-GB"/>
        </w:rPr>
        <w:t>ALL RIGHTS RESERVED</w:t>
      </w:r>
    </w:p>
    <w:bookmarkEnd w:id="0"/>
    <w:p w:rsidR="00B57BCB" w:rsidRPr="00F47080" w:rsidRDefault="00B57BCB" w:rsidP="00E154C7">
      <w:pPr>
        <w:rPr>
          <w:color w:val="FF0000"/>
          <w:lang w:val="en-GB"/>
        </w:rPr>
      </w:pPr>
    </w:p>
    <w:sectPr w:rsidR="00B57BCB" w:rsidRPr="00F47080" w:rsidSect="00BB5D5A">
      <w:footerReference w:type="default" r:id="rId6"/>
      <w:type w:val="nextColumn"/>
      <w:pgSz w:w="11907" w:h="16840" w:code="9"/>
      <w:pgMar w:top="1440" w:right="1418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C47" w:rsidRDefault="00497C47">
      <w:r>
        <w:separator/>
      </w:r>
    </w:p>
  </w:endnote>
  <w:endnote w:type="continuationSeparator" w:id="0">
    <w:p w:rsidR="00497C47" w:rsidRDefault="0049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D5A" w:rsidRDefault="00BB5D5A" w:rsidP="00BB5D5A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C47" w:rsidRDefault="00497C47">
      <w:r>
        <w:separator/>
      </w:r>
    </w:p>
  </w:footnote>
  <w:footnote w:type="continuationSeparator" w:id="0">
    <w:p w:rsidR="00497C47" w:rsidRDefault="0049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en-US" w:vendorID="8" w:dllVersion="513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FD"/>
    <w:rsid w:val="00497C47"/>
    <w:rsid w:val="00B57BCB"/>
    <w:rsid w:val="00BB5D5A"/>
    <w:rsid w:val="00D065FD"/>
    <w:rsid w:val="00E154C7"/>
    <w:rsid w:val="00F4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433B2-5E1B-4B38-B94F-F732EAD7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54C7"/>
    <w:pPr>
      <w:spacing w:after="120"/>
      <w:jc w:val="both"/>
    </w:pPr>
    <w:rPr>
      <w:rFonts w:ascii="Univers" w:hAnsi="Univers"/>
      <w:sz w:val="22"/>
      <w:lang w:val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napToGrid w:val="0"/>
      <w:color w:val="FF0000"/>
      <w:lang w:eastAsia="es-ES"/>
    </w:rPr>
  </w:style>
  <w:style w:type="paragraph" w:styleId="Ttulo2">
    <w:name w:val="heading 2"/>
    <w:basedOn w:val="Normal"/>
    <w:next w:val="Normal"/>
    <w:qFormat/>
    <w:rsid w:val="00E154C7"/>
    <w:pPr>
      <w:keepNext/>
      <w:tabs>
        <w:tab w:val="right" w:pos="8789"/>
      </w:tabs>
      <w:jc w:val="center"/>
      <w:outlineLvl w:val="1"/>
    </w:pPr>
    <w:rPr>
      <w:b/>
      <w:snapToGrid w:val="0"/>
      <w:sz w:val="28"/>
      <w:lang w:eastAsia="es-ES"/>
    </w:rPr>
  </w:style>
  <w:style w:type="paragraph" w:styleId="Ttulo3">
    <w:name w:val="heading 3"/>
    <w:basedOn w:val="Normal"/>
    <w:next w:val="Normal"/>
    <w:qFormat/>
    <w:rsid w:val="00E154C7"/>
    <w:pPr>
      <w:keepNext/>
      <w:spacing w:before="120" w:after="60"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Avanodecorpodetexto">
    <w:name w:val="Body Text Indent"/>
    <w:basedOn w:val="Normal"/>
    <w:pPr>
      <w:ind w:left="1134" w:hanging="425"/>
    </w:pPr>
    <w:rPr>
      <w:snapToGrid w:val="0"/>
      <w:color w:val="FF0000"/>
      <w:lang w:eastAsia="es-ES"/>
    </w:rPr>
  </w:style>
  <w:style w:type="paragraph" w:styleId="Avanodecorpodetexto2">
    <w:name w:val="Body Text Indent 2"/>
    <w:basedOn w:val="Normal"/>
    <w:pPr>
      <w:ind w:firstLine="567"/>
    </w:pPr>
    <w:rPr>
      <w:snapToGrid w:val="0"/>
      <w:color w:val="FF0000"/>
      <w:lang w:eastAsia="es-ES"/>
    </w:rPr>
  </w:style>
  <w:style w:type="paragraph" w:styleId="Avanodecorpodetexto3">
    <w:name w:val="Body Text Indent 3"/>
    <w:basedOn w:val="Normal"/>
    <w:pPr>
      <w:ind w:firstLine="709"/>
    </w:pPr>
    <w:rPr>
      <w:snapToGrid w:val="0"/>
      <w:lang w:eastAsia="es-ES"/>
    </w:rPr>
  </w:style>
  <w:style w:type="paragraph" w:styleId="Corpodetexto">
    <w:name w:val="Body Text"/>
    <w:basedOn w:val="Normal"/>
    <w:rsid w:val="00E154C7"/>
    <w:pPr>
      <w:tabs>
        <w:tab w:val="right" w:pos="8789"/>
      </w:tabs>
    </w:pPr>
    <w:rPr>
      <w:snapToGrid w:val="0"/>
      <w:lang w:eastAsia="es-ES"/>
    </w:rPr>
  </w:style>
  <w:style w:type="paragraph" w:styleId="Corpodetexto2">
    <w:name w:val="Body Text 2"/>
    <w:basedOn w:val="Normal"/>
    <w:pPr>
      <w:ind w:right="1702"/>
    </w:pPr>
    <w:rPr>
      <w:rFonts w:ascii="Times New Roman" w:hAnsi="Times New Roman"/>
      <w:snapToGrid w:val="0"/>
      <w:color w:val="FF0000"/>
      <w:lang w:eastAsia="es-ES"/>
    </w:rPr>
  </w:style>
  <w:style w:type="paragraph" w:styleId="Textodebloco">
    <w:name w:val="Block Text"/>
    <w:basedOn w:val="Normal"/>
    <w:pPr>
      <w:tabs>
        <w:tab w:val="right" w:pos="8789"/>
      </w:tabs>
      <w:ind w:left="426" w:right="1276"/>
    </w:pPr>
    <w:rPr>
      <w:rFonts w:ascii="Times New Roman" w:hAnsi="Times New Roman"/>
      <w:snapToGrid w:val="0"/>
      <w:color w:val="FF0000"/>
      <w:lang w:eastAsia="es-ES"/>
    </w:rPr>
  </w:style>
  <w:style w:type="paragraph" w:styleId="Corpodetexto3">
    <w:name w:val="Body Text 3"/>
    <w:basedOn w:val="Normal"/>
    <w:pPr>
      <w:tabs>
        <w:tab w:val="right" w:pos="8789"/>
      </w:tabs>
      <w:ind w:right="1702"/>
    </w:pPr>
    <w:rPr>
      <w:rFonts w:ascii="Times New Roman" w:hAnsi="Times New Roman"/>
      <w:b/>
      <w:snapToGrid w:val="0"/>
      <w:color w:val="FF0000"/>
      <w:lang w:eastAsia="es-ES"/>
    </w:rPr>
  </w:style>
  <w:style w:type="paragraph" w:styleId="Lista">
    <w:name w:val="List"/>
    <w:basedOn w:val="Normal"/>
    <w:rsid w:val="00E154C7"/>
    <w:pPr>
      <w:ind w:left="283" w:hanging="283"/>
    </w:pPr>
  </w:style>
  <w:style w:type="paragraph" w:styleId="Cabealho">
    <w:name w:val="header"/>
    <w:basedOn w:val="Normal"/>
    <w:rsid w:val="00BB5D5A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BB5D5A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BB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 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Snake</dc:creator>
  <cp:keywords/>
  <cp:lastModifiedBy>Franz Le Gal</cp:lastModifiedBy>
  <cp:revision>2</cp:revision>
  <dcterms:created xsi:type="dcterms:W3CDTF">2018-09-29T11:06:00Z</dcterms:created>
  <dcterms:modified xsi:type="dcterms:W3CDTF">2018-09-29T11:06:00Z</dcterms:modified>
</cp:coreProperties>
</file>