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54F" w:rsidRPr="00F649D7" w:rsidRDefault="00ED054F" w:rsidP="00F649D7">
      <w:pPr>
        <w:rPr>
          <w:color w:val="FF0000"/>
          <w:lang w:val="en-US"/>
        </w:rPr>
      </w:pPr>
      <w:bookmarkStart w:id="0" w:name="_GoBack"/>
      <w:bookmarkEnd w:id="0"/>
    </w:p>
    <w:p w:rsidR="00ED054F" w:rsidRPr="00F649D7" w:rsidRDefault="00ED054F" w:rsidP="00F649D7">
      <w:pPr>
        <w:jc w:val="center"/>
        <w:rPr>
          <w:color w:val="FF0000"/>
          <w:lang w:val="en-US"/>
        </w:rPr>
      </w:pPr>
      <w:r w:rsidRPr="00F649D7">
        <w:rPr>
          <w:color w:val="FF0000"/>
          <w:lang w:val="en-US"/>
        </w:rPr>
        <w:t>HUBBARD COMMUNICATIONS OFFICE</w:t>
      </w:r>
    </w:p>
    <w:p w:rsidR="00ED054F" w:rsidRPr="00F649D7" w:rsidRDefault="00ED054F" w:rsidP="00F649D7">
      <w:pPr>
        <w:jc w:val="center"/>
        <w:rPr>
          <w:color w:val="FF0000"/>
          <w:lang w:val="en-US"/>
        </w:rPr>
      </w:pPr>
      <w:r w:rsidRPr="00F649D7">
        <w:rPr>
          <w:color w:val="FF0000"/>
          <w:lang w:val="en-US"/>
        </w:rPr>
        <w:t>Saint Hill Manor, East Grinstead, Sussex</w:t>
      </w:r>
    </w:p>
    <w:p w:rsidR="00ED054F" w:rsidRPr="00F649D7" w:rsidRDefault="00ED054F" w:rsidP="00F649D7">
      <w:pPr>
        <w:jc w:val="center"/>
        <w:rPr>
          <w:color w:val="FF0000"/>
          <w:lang w:val="en-US"/>
        </w:rPr>
      </w:pPr>
      <w:r w:rsidRPr="00F649D7">
        <w:rPr>
          <w:color w:val="FF0000"/>
          <w:lang w:val="en-US"/>
        </w:rPr>
        <w:t>HCO BULLETIN OF 9 MARCH 1960</w:t>
      </w:r>
    </w:p>
    <w:p w:rsidR="00ED054F" w:rsidRPr="00F649D7" w:rsidRDefault="00ED054F" w:rsidP="00F649D7">
      <w:pPr>
        <w:pStyle w:val="Lista"/>
        <w:rPr>
          <w:color w:val="FF0000"/>
          <w:lang w:val="en-US"/>
        </w:rPr>
      </w:pPr>
      <w:r w:rsidRPr="00F649D7">
        <w:rPr>
          <w:color w:val="FF0000"/>
          <w:lang w:val="en-US"/>
        </w:rPr>
        <w:t>Fran Hldrs</w:t>
      </w:r>
    </w:p>
    <w:p w:rsidR="00ED054F" w:rsidRPr="00F649D7" w:rsidRDefault="00ED054F" w:rsidP="00F649D7">
      <w:pPr>
        <w:pStyle w:val="Lista"/>
        <w:rPr>
          <w:color w:val="FF0000"/>
          <w:lang w:val="en-US"/>
        </w:rPr>
      </w:pPr>
      <w:r w:rsidRPr="00F649D7">
        <w:rPr>
          <w:color w:val="FF0000"/>
          <w:lang w:val="en-US"/>
        </w:rPr>
        <w:t>Central Orgs</w:t>
      </w:r>
    </w:p>
    <w:p w:rsidR="00ED054F" w:rsidRPr="00F649D7" w:rsidRDefault="00ED054F" w:rsidP="00F649D7">
      <w:pPr>
        <w:jc w:val="center"/>
        <w:rPr>
          <w:b/>
          <w:color w:val="FF0000"/>
          <w:lang w:val="en-US"/>
        </w:rPr>
      </w:pPr>
      <w:r w:rsidRPr="00F649D7">
        <w:rPr>
          <w:b/>
          <w:color w:val="FF0000"/>
          <w:lang w:val="en-US"/>
        </w:rPr>
        <w:t>EXPANSION OF OT-3A PROCEDURE, STEP TWO</w:t>
      </w:r>
    </w:p>
    <w:p w:rsidR="00ED054F" w:rsidRPr="00F649D7" w:rsidRDefault="00ED054F" w:rsidP="00F649D7">
      <w:pPr>
        <w:jc w:val="center"/>
        <w:rPr>
          <w:b/>
          <w:color w:val="FF0000"/>
          <w:lang w:val="en-US"/>
        </w:rPr>
      </w:pPr>
      <w:r w:rsidRPr="00F649D7">
        <w:rPr>
          <w:b/>
          <w:color w:val="FF0000"/>
          <w:lang w:val="en-US"/>
        </w:rPr>
        <w:t>HGC ALLOWED PROCESSES</w:t>
      </w:r>
    </w:p>
    <w:p w:rsidR="00F649D7" w:rsidRPr="00F649D7" w:rsidRDefault="00F649D7" w:rsidP="00F649D7">
      <w:pPr>
        <w:jc w:val="center"/>
        <w:rPr>
          <w:b/>
          <w:color w:val="FF0000"/>
          <w:lang w:val="en-US"/>
        </w:rPr>
      </w:pP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Step Two of OT-3A Procedure is as follows: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Run Cause ARC Straight Wire to give pc a win on getting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audited. Once each over and over. End process only with pc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in present time on cycle.</w:t>
      </w:r>
    </w:p>
    <w:p w:rsidR="00ED054F" w:rsidRPr="00F649D7" w:rsidRDefault="00F649D7" w:rsidP="00F649D7">
      <w:pPr>
        <w:pStyle w:val="Corpodetexto"/>
        <w:ind w:left="708"/>
        <w:rPr>
          <w:color w:val="FF0000"/>
          <w:lang w:val="en-US"/>
        </w:rPr>
      </w:pPr>
      <w:r w:rsidRPr="00F649D7">
        <w:rPr>
          <w:color w:val="FF0000"/>
          <w:lang w:val="en-US"/>
        </w:rPr>
        <w:t>“</w:t>
      </w:r>
      <w:r w:rsidR="00ED054F" w:rsidRPr="00F649D7">
        <w:rPr>
          <w:color w:val="FF0000"/>
          <w:lang w:val="en-US"/>
        </w:rPr>
        <w:t>Recall communicating to someone</w:t>
      </w:r>
      <w:r w:rsidRPr="00F649D7">
        <w:rPr>
          <w:color w:val="FF0000"/>
          <w:lang w:val="en-US"/>
        </w:rPr>
        <w:t>”</w:t>
      </w:r>
    </w:p>
    <w:p w:rsidR="00ED054F" w:rsidRPr="00F649D7" w:rsidRDefault="00F649D7" w:rsidP="00F649D7">
      <w:pPr>
        <w:pStyle w:val="Corpodetexto"/>
        <w:ind w:left="708"/>
        <w:rPr>
          <w:color w:val="FF0000"/>
          <w:lang w:val="en-US"/>
        </w:rPr>
      </w:pPr>
      <w:r w:rsidRPr="00F649D7">
        <w:rPr>
          <w:color w:val="FF0000"/>
          <w:lang w:val="en-US"/>
        </w:rPr>
        <w:t>“</w:t>
      </w:r>
      <w:r w:rsidR="00ED054F" w:rsidRPr="00F649D7">
        <w:rPr>
          <w:color w:val="FF0000"/>
          <w:lang w:val="en-US"/>
        </w:rPr>
        <w:t>Recall a time you felt affinity for someone</w:t>
      </w:r>
      <w:r w:rsidRPr="00F649D7">
        <w:rPr>
          <w:color w:val="FF0000"/>
          <w:lang w:val="en-US"/>
        </w:rPr>
        <w:t>”</w:t>
      </w:r>
    </w:p>
    <w:p w:rsidR="00ED054F" w:rsidRPr="00F649D7" w:rsidRDefault="00F649D7" w:rsidP="00F649D7">
      <w:pPr>
        <w:pStyle w:val="Corpodetexto"/>
        <w:ind w:left="708"/>
        <w:rPr>
          <w:color w:val="FF0000"/>
          <w:lang w:val="en-US"/>
        </w:rPr>
      </w:pPr>
      <w:r w:rsidRPr="00F649D7">
        <w:rPr>
          <w:color w:val="FF0000"/>
          <w:lang w:val="en-US"/>
        </w:rPr>
        <w:t>“</w:t>
      </w:r>
      <w:r w:rsidR="00ED054F" w:rsidRPr="00F649D7">
        <w:rPr>
          <w:color w:val="FF0000"/>
          <w:lang w:val="en-US"/>
        </w:rPr>
        <w:t>Recall something that is really real to you</w:t>
      </w:r>
      <w:r w:rsidRPr="00F649D7">
        <w:rPr>
          <w:color w:val="FF0000"/>
          <w:lang w:val="en-US"/>
        </w:rPr>
        <w:t>”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Now people do have time tracks, the time span of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individual from beingness to present time on which lies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sequence of events of his total existence. And when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preclear is in session and is being run on a recall type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process, he, with his attention, goes up and down this time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track. He may recall things only from this life or he may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recall things from his whole past track; but however that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may be, his attention cycles from early on the track to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present time or from present time to early on the track to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present time. This is known as the cycle aspect of recall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type processes. In ending such a process, it is of utmost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importance that the auditor end it with the preclear in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present time on the cycle. The auditor wants to watch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ending the process when the preclear has not made a smooth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cycle into present time, but has made a big jump from way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back in the past to present time. In such a case,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preclear has really bounced out of the past incident into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present time, and it is only an </w:t>
      </w:r>
      <w:r w:rsidR="00F649D7" w:rsidRPr="00F649D7">
        <w:rPr>
          <w:color w:val="FF0000"/>
          <w:lang w:val="en-US"/>
        </w:rPr>
        <w:t>appearance</w:t>
      </w:r>
      <w:r w:rsidRPr="00F649D7">
        <w:rPr>
          <w:color w:val="FF0000"/>
          <w:lang w:val="en-US"/>
        </w:rPr>
        <w:t xml:space="preserve"> that the preclear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is in present time.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So when ending such a process, the auditor must exert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caution to be certain the preclear is in present time.</w:t>
      </w:r>
      <w:r w:rsidR="00F649D7" w:rsidRPr="00F649D7">
        <w:rPr>
          <w:color w:val="FF0000"/>
          <w:lang w:val="en-US"/>
        </w:rPr>
        <w:t xml:space="preserve">  </w:t>
      </w:r>
      <w:r w:rsidRPr="00F649D7">
        <w:rPr>
          <w:color w:val="FF0000"/>
          <w:lang w:val="en-US"/>
        </w:rPr>
        <w:t>Being left with one</w:t>
      </w:r>
      <w:r w:rsidR="00F649D7" w:rsidRPr="00F649D7">
        <w:rPr>
          <w:color w:val="FF0000"/>
          <w:lang w:val="en-US"/>
        </w:rPr>
        <w:t>’</w:t>
      </w:r>
      <w:r w:rsidRPr="00F649D7">
        <w:rPr>
          <w:color w:val="FF0000"/>
          <w:lang w:val="en-US"/>
        </w:rPr>
        <w:t>s attention back on the track is not a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comfortable sensation and sometimes can be quite painful,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despite any justification offered by an auditor who himself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has no reality on the time track, and I hope there are no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such auditors.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With Cause ARC Straight Wire, the auditor must forget his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fastidiousness about ending the process precisely so on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last command,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Recall something that is really real to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you.</w:t>
      </w:r>
      <w:r w:rsidR="00F649D7" w:rsidRPr="00F649D7">
        <w:rPr>
          <w:color w:val="FF0000"/>
          <w:lang w:val="en-US"/>
        </w:rPr>
        <w:t>”</w:t>
      </w:r>
      <w:r w:rsidRPr="00F649D7">
        <w:rPr>
          <w:color w:val="FF0000"/>
          <w:lang w:val="en-US"/>
        </w:rPr>
        <w:t xml:space="preserve"> He ends the process, no matter on what command of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Cause ARC Straight Wire, when the preclear</w:t>
      </w:r>
      <w:r w:rsidR="00F649D7" w:rsidRPr="00F649D7">
        <w:rPr>
          <w:color w:val="FF0000"/>
          <w:lang w:val="en-US"/>
        </w:rPr>
        <w:t>’</w:t>
      </w:r>
      <w:r w:rsidRPr="00F649D7">
        <w:rPr>
          <w:color w:val="FF0000"/>
          <w:lang w:val="en-US"/>
        </w:rPr>
        <w:t>s attention has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come into or close to present time, close to present time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being the last day or two.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In ending such a process the communication bridge used is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as follows: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The next time you come close to present time I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am going to end this process.</w:t>
      </w:r>
      <w:r w:rsidR="00F649D7" w:rsidRPr="00F649D7">
        <w:rPr>
          <w:color w:val="FF0000"/>
          <w:lang w:val="en-US"/>
        </w:rPr>
        <w:t>”</w:t>
      </w:r>
      <w:r w:rsidRPr="00F649D7">
        <w:rPr>
          <w:color w:val="FF0000"/>
          <w:lang w:val="en-US"/>
        </w:rPr>
        <w:t xml:space="preserve"> He continues to give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commands using the question,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When was that?</w:t>
      </w:r>
      <w:r w:rsidR="00F649D7" w:rsidRPr="00F649D7">
        <w:rPr>
          <w:color w:val="FF0000"/>
          <w:lang w:val="en-US"/>
        </w:rPr>
        <w:t>”</w:t>
      </w:r>
      <w:r w:rsidRPr="00F649D7">
        <w:rPr>
          <w:color w:val="FF0000"/>
          <w:lang w:val="en-US"/>
        </w:rPr>
        <w:t>, after each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answer the preclear gives and before the acknowledgement.</w:t>
      </w:r>
      <w:r w:rsidR="00F649D7" w:rsidRPr="00F649D7">
        <w:rPr>
          <w:color w:val="FF0000"/>
          <w:lang w:val="en-US"/>
        </w:rPr>
        <w:t xml:space="preserve">  </w:t>
      </w:r>
      <w:r w:rsidRPr="00F649D7">
        <w:rPr>
          <w:color w:val="FF0000"/>
          <w:lang w:val="en-US"/>
        </w:rPr>
        <w:t>When the preclear gives an answer close to present time, 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says,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That was the last command of that process; end of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process.</w:t>
      </w:r>
      <w:r w:rsidR="00F649D7" w:rsidRPr="00F649D7">
        <w:rPr>
          <w:color w:val="FF0000"/>
          <w:lang w:val="en-US"/>
        </w:rPr>
        <w:t>”</w:t>
      </w:r>
      <w:r w:rsidRPr="00F649D7">
        <w:rPr>
          <w:color w:val="FF0000"/>
          <w:lang w:val="en-US"/>
        </w:rPr>
        <w:t xml:space="preserve"> Bang. With processes that cycle, there can be no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communication bridges like,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If it</w:t>
      </w:r>
      <w:r w:rsidR="00F649D7" w:rsidRPr="00F649D7">
        <w:rPr>
          <w:color w:val="FF0000"/>
          <w:lang w:val="en-US"/>
        </w:rPr>
        <w:t>’</w:t>
      </w:r>
      <w:r w:rsidRPr="00F649D7">
        <w:rPr>
          <w:color w:val="FF0000"/>
          <w:lang w:val="en-US"/>
        </w:rPr>
        <w:t>s alright with you in a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few more commands I am going to end this process.</w:t>
      </w:r>
      <w:r w:rsidR="00F649D7" w:rsidRPr="00F649D7">
        <w:rPr>
          <w:color w:val="FF0000"/>
          <w:lang w:val="en-US"/>
        </w:rPr>
        <w:t>”</w:t>
      </w:r>
      <w:r w:rsidRPr="00F649D7">
        <w:rPr>
          <w:color w:val="FF0000"/>
          <w:lang w:val="en-US"/>
        </w:rPr>
        <w:t xml:space="preserve"> It could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take fifty more commands until the preclear is close to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present time; and by that time, the preclear has entirely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forgotten that there ever was any intention on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auditor</w:t>
      </w:r>
      <w:r w:rsidR="00F649D7" w:rsidRPr="00F649D7">
        <w:rPr>
          <w:color w:val="FF0000"/>
          <w:lang w:val="en-US"/>
        </w:rPr>
        <w:t>’</w:t>
      </w:r>
      <w:r w:rsidRPr="00F649D7">
        <w:rPr>
          <w:color w:val="FF0000"/>
          <w:lang w:val="en-US"/>
        </w:rPr>
        <w:t>s part to end the process as it seems to him that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the auditor must have changed his mind and decided to run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the process longer than a few commands.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An auditor should not get upset with a preclear when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auditor, in an effort to get the preclear to give an answer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right in present time, starts the preclear back down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time track again. Remember it is the auditor who calls the shot, and if he misses, then he had better learn to gage it a bit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better. A good auditor allows himself time in which to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properly end a process.</w:t>
      </w:r>
    </w:p>
    <w:p w:rsidR="00F649D7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Now two further cyclic processes which can be seen under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Step Two of OT-3A are: </w:t>
      </w:r>
    </w:p>
    <w:p w:rsidR="00ED054F" w:rsidRPr="00F649D7" w:rsidRDefault="00ED054F" w:rsidP="00F649D7">
      <w:pPr>
        <w:pStyle w:val="Corpodetexto"/>
        <w:ind w:left="708"/>
        <w:rPr>
          <w:color w:val="FF0000"/>
          <w:lang w:val="en-US"/>
        </w:rPr>
      </w:pPr>
      <w:r w:rsidRPr="00F649D7">
        <w:rPr>
          <w:color w:val="FF0000"/>
          <w:lang w:val="en-US"/>
        </w:rPr>
        <w:lastRenderedPageBreak/>
        <w:t xml:space="preserve">1.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What would it be all right for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you to make forgotten?</w:t>
      </w:r>
      <w:r w:rsidR="00F649D7" w:rsidRPr="00F649D7">
        <w:rPr>
          <w:color w:val="FF0000"/>
          <w:lang w:val="en-US"/>
        </w:rPr>
        <w:t>”</w:t>
      </w:r>
    </w:p>
    <w:p w:rsidR="00ED054F" w:rsidRPr="00F649D7" w:rsidRDefault="00ED054F" w:rsidP="00F649D7">
      <w:pPr>
        <w:pStyle w:val="Corpodetexto"/>
        <w:ind w:left="708"/>
        <w:rPr>
          <w:color w:val="FF0000"/>
          <w:lang w:val="en-US"/>
        </w:rPr>
      </w:pPr>
      <w:r w:rsidRPr="00F649D7">
        <w:rPr>
          <w:color w:val="FF0000"/>
          <w:lang w:val="en-US"/>
        </w:rPr>
        <w:t xml:space="preserve">2.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What would you permit to have happen again?</w:t>
      </w:r>
      <w:r w:rsidR="00F649D7" w:rsidRPr="00F649D7">
        <w:rPr>
          <w:color w:val="FF0000"/>
          <w:lang w:val="en-US"/>
        </w:rPr>
        <w:t>”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These are called Cause Elementary Straight Wire and are two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separate processes which are not to be run alternately.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The first process puts the preclear at cause over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forgetting, and the second process rehabilitates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preclear</w:t>
      </w:r>
      <w:r w:rsidR="00F649D7" w:rsidRPr="00F649D7">
        <w:rPr>
          <w:color w:val="FF0000"/>
          <w:lang w:val="en-US"/>
        </w:rPr>
        <w:t>’</w:t>
      </w:r>
      <w:r w:rsidRPr="00F649D7">
        <w:rPr>
          <w:color w:val="FF0000"/>
          <w:lang w:val="en-US"/>
        </w:rPr>
        <w:t>s ability to duplicate. These are both terrific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processes in turning on recall in the preclear. All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processes under Step Two are unlimited, with the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make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forgotten</w:t>
      </w:r>
      <w:r w:rsidR="00F649D7" w:rsidRPr="00F649D7">
        <w:rPr>
          <w:color w:val="FF0000"/>
          <w:lang w:val="en-US"/>
        </w:rPr>
        <w:t>”</w:t>
      </w:r>
      <w:r w:rsidRPr="00F649D7">
        <w:rPr>
          <w:color w:val="FF0000"/>
          <w:lang w:val="en-US"/>
        </w:rPr>
        <w:t xml:space="preserve"> one only slightly less unlimited as it has a bit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of a tendency to run down havingness.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Havingness, however, should be checked upon in each session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and run as needed.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The auditor should not consider Step Two of OT-3A lightly.</w:t>
      </w:r>
      <w:r w:rsidR="00F649D7" w:rsidRPr="00F649D7">
        <w:rPr>
          <w:color w:val="FF0000"/>
          <w:lang w:val="en-US"/>
        </w:rPr>
        <w:t xml:space="preserve">  </w:t>
      </w:r>
      <w:r w:rsidRPr="00F649D7">
        <w:rPr>
          <w:color w:val="FF0000"/>
          <w:lang w:val="en-US"/>
        </w:rPr>
        <w:t>These processes are, in reality, very potent and will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certainly do more for CCH-step cases than anything we have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had before. An example of this is how preclears broke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through from psychosis to neurosis to sanity with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simplified version of ARC Straight Wire as given in the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original Self Analysis. So use these processes and win faster.</w:t>
      </w:r>
    </w:p>
    <w:p w:rsidR="00ED054F" w:rsidRPr="00F649D7" w:rsidRDefault="00ED054F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Note: On second thoughts for purposes of differentiation,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the first process,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What would it be all right for you to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make forgotten?</w:t>
      </w:r>
      <w:r w:rsidR="00F649D7" w:rsidRPr="00F649D7">
        <w:rPr>
          <w:color w:val="FF0000"/>
          <w:lang w:val="en-US"/>
        </w:rPr>
        <w:t>”</w:t>
      </w:r>
      <w:r w:rsidRPr="00F649D7">
        <w:rPr>
          <w:color w:val="FF0000"/>
          <w:lang w:val="en-US"/>
        </w:rPr>
        <w:t>, should be termed Cause Elementary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Straight Wire; and the second process,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What would you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permit to have happen again?</w:t>
      </w:r>
      <w:r w:rsidR="00F649D7" w:rsidRPr="00F649D7">
        <w:rPr>
          <w:color w:val="FF0000"/>
          <w:lang w:val="en-US"/>
        </w:rPr>
        <w:t>”</w:t>
      </w:r>
      <w:r w:rsidRPr="00F649D7">
        <w:rPr>
          <w:color w:val="FF0000"/>
          <w:lang w:val="en-US"/>
        </w:rPr>
        <w:t>, shall be called Duplication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Straight Wire. These two processes were first used in early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>Advanced Clinical Courses in Phoenix and were called at</w:t>
      </w:r>
      <w:r w:rsidR="00F649D7" w:rsidRPr="00F649D7">
        <w:rPr>
          <w:color w:val="FF0000"/>
          <w:lang w:val="en-US"/>
        </w:rPr>
        <w:t xml:space="preserve"> </w:t>
      </w:r>
      <w:r w:rsidRPr="00F649D7">
        <w:rPr>
          <w:color w:val="FF0000"/>
          <w:lang w:val="en-US"/>
        </w:rPr>
        <w:t xml:space="preserve">that time </w:t>
      </w:r>
      <w:r w:rsidR="00F649D7" w:rsidRPr="00F649D7">
        <w:rPr>
          <w:color w:val="FF0000"/>
          <w:lang w:val="en-US"/>
        </w:rPr>
        <w:t>“</w:t>
      </w:r>
      <w:r w:rsidRPr="00F649D7">
        <w:rPr>
          <w:color w:val="FF0000"/>
          <w:lang w:val="en-US"/>
        </w:rPr>
        <w:t>Elementary Straightwire</w:t>
      </w:r>
      <w:r w:rsidR="00F649D7" w:rsidRPr="00F649D7">
        <w:rPr>
          <w:color w:val="FF0000"/>
          <w:lang w:val="en-US"/>
        </w:rPr>
        <w:t>”</w:t>
      </w:r>
      <w:r w:rsidRPr="00F649D7">
        <w:rPr>
          <w:color w:val="FF0000"/>
          <w:lang w:val="en-US"/>
        </w:rPr>
        <w:t>. The commands of</w:t>
      </w:r>
      <w:r w:rsidR="00F649D7" w:rsidRPr="00F649D7">
        <w:rPr>
          <w:color w:val="FF0000"/>
          <w:lang w:val="en-US"/>
        </w:rPr>
        <w:t xml:space="preserve"> “</w:t>
      </w:r>
      <w:r w:rsidRPr="00F649D7">
        <w:rPr>
          <w:color w:val="FF0000"/>
          <w:lang w:val="en-US"/>
        </w:rPr>
        <w:t>Elementary Straightwire</w:t>
      </w:r>
      <w:r w:rsidR="00F649D7" w:rsidRPr="00F649D7">
        <w:rPr>
          <w:color w:val="FF0000"/>
          <w:lang w:val="en-US"/>
        </w:rPr>
        <w:t>”</w:t>
      </w:r>
      <w:r w:rsidRPr="00F649D7">
        <w:rPr>
          <w:color w:val="FF0000"/>
          <w:lang w:val="en-US"/>
        </w:rPr>
        <w:t xml:space="preserve"> as given in Dianetics 1955 were:</w:t>
      </w:r>
    </w:p>
    <w:p w:rsidR="00ED054F" w:rsidRPr="00F649D7" w:rsidRDefault="00F649D7" w:rsidP="00F649D7">
      <w:pPr>
        <w:pStyle w:val="Corpodetexto"/>
        <w:rPr>
          <w:color w:val="FF0000"/>
          <w:lang w:val="en-US"/>
        </w:rPr>
      </w:pPr>
      <w:r w:rsidRPr="00F649D7">
        <w:rPr>
          <w:color w:val="FF0000"/>
          <w:lang w:val="en-US"/>
        </w:rPr>
        <w:t>“</w:t>
      </w:r>
      <w:r w:rsidR="00ED054F" w:rsidRPr="00F649D7">
        <w:rPr>
          <w:color w:val="FF0000"/>
          <w:lang w:val="en-US"/>
        </w:rPr>
        <w:t>Give me something you wouldn</w:t>
      </w:r>
      <w:r w:rsidRPr="00F649D7">
        <w:rPr>
          <w:color w:val="FF0000"/>
          <w:lang w:val="en-US"/>
        </w:rPr>
        <w:t>’</w:t>
      </w:r>
      <w:r w:rsidR="00ED054F" w:rsidRPr="00F649D7">
        <w:rPr>
          <w:color w:val="FF0000"/>
          <w:lang w:val="en-US"/>
        </w:rPr>
        <w:t>t mind remembering</w:t>
      </w:r>
      <w:r w:rsidRPr="00F649D7">
        <w:rPr>
          <w:color w:val="FF0000"/>
          <w:lang w:val="en-US"/>
        </w:rPr>
        <w:t>”</w:t>
      </w:r>
      <w:r w:rsidR="00ED054F" w:rsidRPr="00F649D7">
        <w:rPr>
          <w:color w:val="FF0000"/>
          <w:lang w:val="en-US"/>
        </w:rPr>
        <w:t xml:space="preserve"> and </w:t>
      </w:r>
      <w:r w:rsidRPr="00F649D7">
        <w:rPr>
          <w:color w:val="FF0000"/>
          <w:lang w:val="en-US"/>
        </w:rPr>
        <w:t>“</w:t>
      </w:r>
      <w:r w:rsidR="00ED054F" w:rsidRPr="00F649D7">
        <w:rPr>
          <w:color w:val="FF0000"/>
          <w:lang w:val="en-US"/>
        </w:rPr>
        <w:t>Give</w:t>
      </w:r>
      <w:r w:rsidRPr="00F649D7">
        <w:rPr>
          <w:color w:val="FF0000"/>
          <w:lang w:val="en-US"/>
        </w:rPr>
        <w:t xml:space="preserve"> </w:t>
      </w:r>
      <w:r w:rsidR="00ED054F" w:rsidRPr="00F649D7">
        <w:rPr>
          <w:color w:val="FF0000"/>
          <w:lang w:val="en-US"/>
        </w:rPr>
        <w:t>me something you wouldn</w:t>
      </w:r>
      <w:r w:rsidRPr="00F649D7">
        <w:rPr>
          <w:color w:val="FF0000"/>
          <w:lang w:val="en-US"/>
        </w:rPr>
        <w:t>’</w:t>
      </w:r>
      <w:r w:rsidR="00ED054F" w:rsidRPr="00F649D7">
        <w:rPr>
          <w:color w:val="FF0000"/>
          <w:lang w:val="en-US"/>
        </w:rPr>
        <w:t>t mind forgetting</w:t>
      </w:r>
      <w:r w:rsidRPr="00F649D7">
        <w:rPr>
          <w:color w:val="FF0000"/>
          <w:lang w:val="en-US"/>
        </w:rPr>
        <w:t>”</w:t>
      </w:r>
      <w:r w:rsidR="00ED054F" w:rsidRPr="00F649D7">
        <w:rPr>
          <w:color w:val="FF0000"/>
          <w:lang w:val="en-US"/>
        </w:rPr>
        <w:t>. As the ability</w:t>
      </w:r>
      <w:r w:rsidRPr="00F649D7">
        <w:rPr>
          <w:color w:val="FF0000"/>
          <w:lang w:val="en-US"/>
        </w:rPr>
        <w:t xml:space="preserve"> </w:t>
      </w:r>
      <w:r w:rsidR="00ED054F" w:rsidRPr="00F649D7">
        <w:rPr>
          <w:color w:val="FF0000"/>
          <w:lang w:val="en-US"/>
        </w:rPr>
        <w:t>to recall depends upon the mechanisms of forgetting and</w:t>
      </w:r>
      <w:r w:rsidRPr="00F649D7">
        <w:rPr>
          <w:color w:val="FF0000"/>
          <w:lang w:val="en-US"/>
        </w:rPr>
        <w:t xml:space="preserve"> </w:t>
      </w:r>
      <w:r w:rsidR="00ED054F" w:rsidRPr="00F649D7">
        <w:rPr>
          <w:color w:val="FF0000"/>
          <w:lang w:val="en-US"/>
        </w:rPr>
        <w:t>remembering (the ability to duplicate) you can easily</w:t>
      </w:r>
      <w:r w:rsidRPr="00F649D7">
        <w:rPr>
          <w:color w:val="FF0000"/>
          <w:lang w:val="en-US"/>
        </w:rPr>
        <w:t xml:space="preserve"> </w:t>
      </w:r>
      <w:r w:rsidR="00ED054F" w:rsidRPr="00F649D7">
        <w:rPr>
          <w:color w:val="FF0000"/>
          <w:lang w:val="en-US"/>
        </w:rPr>
        <w:t>understand the importance of these in Step Two of OT-3A.</w:t>
      </w:r>
    </w:p>
    <w:p w:rsidR="00F649D7" w:rsidRPr="00F649D7" w:rsidRDefault="00F649D7" w:rsidP="00F649D7">
      <w:pPr>
        <w:pStyle w:val="Corpodetexto"/>
        <w:rPr>
          <w:color w:val="FF0000"/>
          <w:lang w:val="en-US"/>
        </w:rPr>
      </w:pPr>
    </w:p>
    <w:p w:rsidR="00ED054F" w:rsidRPr="00F649D7" w:rsidRDefault="00ED054F" w:rsidP="00F649D7">
      <w:pPr>
        <w:ind w:left="6379"/>
        <w:rPr>
          <w:color w:val="FF0000"/>
          <w:lang w:val="fr-FR"/>
        </w:rPr>
      </w:pPr>
      <w:r w:rsidRPr="00F649D7">
        <w:rPr>
          <w:color w:val="FF0000"/>
          <w:lang w:val="fr-FR"/>
        </w:rPr>
        <w:t>L. RON HUBBARD</w:t>
      </w:r>
    </w:p>
    <w:p w:rsidR="00ED054F" w:rsidRPr="00F649D7" w:rsidRDefault="00ED054F" w:rsidP="00F649D7">
      <w:pPr>
        <w:pStyle w:val="Lista"/>
        <w:rPr>
          <w:color w:val="FF0000"/>
          <w:lang w:val="fr-FR"/>
        </w:rPr>
      </w:pPr>
      <w:proofErr w:type="gramStart"/>
      <w:r w:rsidRPr="00F649D7">
        <w:rPr>
          <w:color w:val="FF0000"/>
          <w:lang w:val="fr-FR"/>
        </w:rPr>
        <w:t>LRH:</w:t>
      </w:r>
      <w:proofErr w:type="gramEnd"/>
      <w:r w:rsidRPr="00F649D7">
        <w:rPr>
          <w:color w:val="FF0000"/>
          <w:lang w:val="fr-FR"/>
        </w:rPr>
        <w:t>js.rd</w:t>
      </w:r>
    </w:p>
    <w:p w:rsidR="00ED054F" w:rsidRPr="00F649D7" w:rsidRDefault="00ED054F" w:rsidP="00F649D7">
      <w:pPr>
        <w:pStyle w:val="Lista"/>
        <w:rPr>
          <w:color w:val="FF0000"/>
          <w:lang w:val="en-US"/>
        </w:rPr>
      </w:pPr>
      <w:r w:rsidRPr="00F649D7">
        <w:rPr>
          <w:color w:val="FF0000"/>
          <w:lang w:val="en-US"/>
        </w:rPr>
        <w:t>Copyright © 1960</w:t>
      </w:r>
    </w:p>
    <w:p w:rsidR="00ED054F" w:rsidRPr="00F649D7" w:rsidRDefault="00ED054F" w:rsidP="00F649D7">
      <w:pPr>
        <w:pStyle w:val="Lista"/>
        <w:rPr>
          <w:color w:val="FF0000"/>
          <w:lang w:val="en-US"/>
        </w:rPr>
      </w:pPr>
      <w:r w:rsidRPr="00F649D7">
        <w:rPr>
          <w:color w:val="FF0000"/>
          <w:lang w:val="en-US"/>
        </w:rPr>
        <w:t>by L. Ron Hubbard</w:t>
      </w:r>
    </w:p>
    <w:p w:rsidR="00ED054F" w:rsidRPr="00F649D7" w:rsidRDefault="00ED054F" w:rsidP="00F649D7">
      <w:pPr>
        <w:pStyle w:val="Lista"/>
        <w:rPr>
          <w:color w:val="FF0000"/>
          <w:lang w:val="en-US"/>
        </w:rPr>
      </w:pPr>
      <w:r w:rsidRPr="00F649D7">
        <w:rPr>
          <w:color w:val="FF0000"/>
          <w:lang w:val="en-US"/>
        </w:rPr>
        <w:t>ALL RIGHTS RESERVED</w:t>
      </w:r>
    </w:p>
    <w:p w:rsidR="00ED054F" w:rsidRPr="00F649D7" w:rsidRDefault="00ED054F" w:rsidP="00F649D7">
      <w:pPr>
        <w:rPr>
          <w:color w:val="FF0000"/>
          <w:lang w:val="en-US"/>
        </w:rPr>
      </w:pPr>
    </w:p>
    <w:sectPr w:rsidR="00ED054F" w:rsidRPr="00F649D7"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4F"/>
    <w:rsid w:val="002562B5"/>
    <w:rsid w:val="003523EC"/>
    <w:rsid w:val="00455350"/>
    <w:rsid w:val="00575F3A"/>
    <w:rsid w:val="005E2C04"/>
    <w:rsid w:val="005E73FD"/>
    <w:rsid w:val="007F05A1"/>
    <w:rsid w:val="00DE0760"/>
    <w:rsid w:val="00DF436F"/>
    <w:rsid w:val="00E64792"/>
    <w:rsid w:val="00ED054F"/>
    <w:rsid w:val="00F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E11CC-30D5-45DD-A912-028A5818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link w:val="Ttulo1Carter"/>
    <w:qFormat/>
    <w:rsid w:val="00F649D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semiHidden/>
    <w:unhideWhenUsed/>
    <w:qFormat/>
    <w:rsid w:val="00F649D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ED054F"/>
    <w:rPr>
      <w:rFonts w:ascii="Courier New" w:hAnsi="Courier New" w:cs="Courier New"/>
      <w:szCs w:val="20"/>
    </w:rPr>
  </w:style>
  <w:style w:type="character" w:customStyle="1" w:styleId="Ttulo1Carter">
    <w:name w:val="Título 1 Caráter"/>
    <w:link w:val="Ttulo1"/>
    <w:rsid w:val="00F649D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link w:val="Cabealho2"/>
    <w:semiHidden/>
    <w:rsid w:val="00F649D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a">
    <w:name w:val="List"/>
    <w:basedOn w:val="Normal"/>
    <w:rsid w:val="00F649D7"/>
    <w:pPr>
      <w:ind w:left="283" w:hanging="283"/>
      <w:contextualSpacing/>
    </w:pPr>
  </w:style>
  <w:style w:type="paragraph" w:styleId="Corpodetexto">
    <w:name w:val="Body Text"/>
    <w:basedOn w:val="Normal"/>
    <w:link w:val="CorpodetextoCarter"/>
    <w:rsid w:val="00F649D7"/>
  </w:style>
  <w:style w:type="character" w:customStyle="1" w:styleId="CorpodetextoCarter">
    <w:name w:val="Corpo de texto Caráter"/>
    <w:link w:val="Corpodetexto"/>
    <w:rsid w:val="00F649D7"/>
    <w:rPr>
      <w:rFonts w:ascii="Tahoma" w:hAnsi="Tahoma"/>
      <w:szCs w:val="24"/>
    </w:rPr>
  </w:style>
  <w:style w:type="paragraph" w:customStyle="1" w:styleId="Autoria">
    <w:name w:val="Autoria"/>
    <w:basedOn w:val="Corpodetexto"/>
    <w:rsid w:val="00F649D7"/>
  </w:style>
  <w:style w:type="paragraph" w:styleId="Lista2">
    <w:name w:val="List 2"/>
    <w:basedOn w:val="Normal"/>
    <w:rsid w:val="003523EC"/>
    <w:pPr>
      <w:ind w:left="566" w:hanging="283"/>
      <w:contextualSpacing/>
    </w:pPr>
  </w:style>
  <w:style w:type="paragraph" w:styleId="Ttulo">
    <w:name w:val="Title"/>
    <w:basedOn w:val="Normal"/>
    <w:next w:val="Normal"/>
    <w:link w:val="TtuloCarter"/>
    <w:qFormat/>
    <w:rsid w:val="003523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3523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ter"/>
    <w:qFormat/>
    <w:rsid w:val="003523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tuloCarter">
    <w:name w:val="Subtítulo Caráter"/>
    <w:basedOn w:val="Tipodeletrapredefinidodopargrafo"/>
    <w:link w:val="Subttulo"/>
    <w:rsid w:val="003523E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Franz Le Gal</cp:lastModifiedBy>
  <cp:revision>2</cp:revision>
  <dcterms:created xsi:type="dcterms:W3CDTF">2018-09-09T21:25:00Z</dcterms:created>
  <dcterms:modified xsi:type="dcterms:W3CDTF">2018-09-09T21:25:00Z</dcterms:modified>
</cp:coreProperties>
</file>